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Cs/>
          <w:color w:val="000000" w:themeColor="text1"/>
          <w:spacing w:val="20"/>
          <w:sz w:val="72"/>
          <w:szCs w:val="72"/>
          <w:vertAlign w:val="superscript"/>
          <w14:textFill>
            <w14:solidFill>
              <w14:schemeClr w14:val="tx1"/>
            </w14:solidFill>
          </w14:textFill>
        </w:rPr>
      </w:pPr>
      <w:r/>
      <w:bookmarkStart w:id="0" w:name="_Hlk148364563"/>
      <w:r/>
      <w:bookmarkEnd w:id="0"/>
      <w:r/>
      <w:r/>
    </w:p>
    <w:p>
      <w:pPr>
        <w:jc w:val="center"/>
        <w:rPr>
          <w:bCs/>
          <w:color w:val="000000" w:themeColor="text1"/>
          <w:spacing w:val="20"/>
          <w:sz w:val="72"/>
          <w:szCs w:val="72"/>
          <w14:textFill>
            <w14:solidFill>
              <w14:schemeClr w14:val="tx1"/>
            </w14:solidFill>
          </w14:textFill>
        </w:rPr>
      </w:pPr>
      <w:r>
        <w:rPr>
          <w:bCs/>
          <w:color w:val="000000" w:themeColor="text1"/>
          <w:spacing w:val="20"/>
          <w:sz w:val="72"/>
          <w:szCs w:val="72"/>
          <w14:textFill>
            <w14:solidFill>
              <w14:schemeClr w14:val="tx1"/>
            </w14:solidFill>
          </w14:textFill>
        </w:rPr>
        <w:t xml:space="preserve">无 锡 市 政 府 采 购</w:t>
      </w:r>
      <w:r/>
    </w:p>
    <w:p>
      <w:pPr>
        <w:rPr>
          <w:bCs/>
          <w:color w:val="000000" w:themeColor="text1"/>
          <w:sz w:val="30"/>
          <w14:textFill>
            <w14:solidFill>
              <w14:schemeClr w14:val="tx1"/>
            </w14:solidFill>
          </w14:textFill>
        </w:rPr>
      </w:pPr>
      <w:r>
        <w:rPr>
          <w:bCs/>
          <w:color w:val="000000" w:themeColor="text1"/>
          <w:sz w:val="30"/>
          <w14:textFill>
            <w14:solidFill>
              <w14:schemeClr w14:val="tx1"/>
            </w14:solidFill>
          </w14:textFill>
        </w:rPr>
      </w:r>
      <w:r/>
    </w:p>
    <w:p>
      <w:pPr>
        <w:jc w:val="center"/>
        <w:rPr>
          <w:bCs/>
          <w:color w:val="000000" w:themeColor="text1"/>
          <w:spacing w:val="20"/>
          <w:sz w:val="52"/>
          <w:szCs w:val="52"/>
          <w14:textFill>
            <w14:solidFill>
              <w14:schemeClr w14:val="tx1"/>
            </w14:solidFill>
          </w14:textFill>
        </w:rPr>
      </w:pPr>
      <w:r>
        <w:rPr>
          <w:bCs/>
          <w:color w:val="000000" w:themeColor="text1"/>
          <w:spacing w:val="20"/>
          <w:sz w:val="52"/>
          <w:szCs w:val="52"/>
          <w14:textFill>
            <w14:solidFill>
              <w14:schemeClr w14:val="tx1"/>
            </w14:solidFill>
          </w14:textFill>
        </w:rPr>
        <w:t xml:space="preserve">公   开</w:t>
      </w:r>
      <w:r/>
    </w:p>
    <w:p>
      <w:pPr>
        <w:jc w:val="center"/>
        <w:rPr>
          <w:bCs/>
          <w:color w:val="000000" w:themeColor="text1"/>
          <w:spacing w:val="20"/>
          <w:sz w:val="52"/>
          <w:szCs w:val="52"/>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bCs/>
          <w:color w:val="000000" w:themeColor="text1"/>
          <w:spacing w:val="20"/>
          <w:sz w:val="52"/>
          <w:szCs w:val="52"/>
          <w14:textFill>
            <w14:solidFill>
              <w14:schemeClr w14:val="tx1"/>
            </w14:solidFill>
          </w14:textFill>
        </w:rPr>
        <w:t xml:space="preserve">招  标  文  件</w:t>
      </w:r>
      <w:r/>
    </w:p>
    <w:p>
      <w:pPr>
        <w:spacing w:line="480" w:lineRule="auto"/>
        <w:rPr>
          <w:bCs/>
          <w:color w:val="000000" w:themeColor="text1"/>
          <w:sz w:val="30"/>
          <w:szCs w:val="30"/>
          <w14:textFill>
            <w14:solidFill>
              <w14:schemeClr w14:val="tx1"/>
            </w14:solidFill>
          </w14:textFill>
        </w:rPr>
      </w:pPr>
      <w:r>
        <w:rPr>
          <w:bCs/>
          <w:color w:val="000000" w:themeColor="text1"/>
          <w:sz w:val="30"/>
          <w:szCs w:val="30"/>
          <w14:textFill>
            <w14:solidFill>
              <w14:schemeClr w14:val="tx1"/>
            </w14:solidFill>
          </w14:textFill>
        </w:rPr>
      </w:r>
      <w:r/>
    </w:p>
    <w:p>
      <w:pPr>
        <w:ind w:firstLine="900"/>
        <w:spacing w:line="480" w:lineRule="auto"/>
        <w:rPr>
          <w:bCs/>
          <w:color w:val="000000" w:themeColor="text1"/>
          <w:sz w:val="30"/>
          <w:szCs w:val="30"/>
          <w:highlight w:val="none"/>
          <w14:textFill>
            <w14:solidFill>
              <w14:schemeClr w14:val="tx1"/>
            </w14:solidFill>
          </w14:textFill>
        </w:rPr>
      </w:pPr>
      <w:r>
        <w:rPr>
          <w:bCs/>
          <w:color w:val="000000" w:themeColor="text1"/>
          <w:sz w:val="30"/>
          <w:szCs w:val="30"/>
          <w:highlight w:val="none"/>
          <w14:textFill>
            <w14:solidFill>
              <w14:schemeClr w14:val="tx1"/>
            </w14:solidFill>
          </w14:textFill>
        </w:rPr>
      </w:r>
      <w:r/>
    </w:p>
    <w:p>
      <w:pPr>
        <w:ind w:firstLine="900"/>
        <w:spacing w:line="480" w:lineRule="auto"/>
        <w:rPr>
          <w:bCs/>
          <w:color w:val="000000" w:themeColor="text1"/>
          <w:sz w:val="30"/>
          <w:szCs w:val="30"/>
          <w:highlight w:val="none"/>
          <w14:textFill>
            <w14:solidFill>
              <w14:schemeClr w14:val="tx1"/>
            </w14:solidFill>
          </w14:textFill>
        </w:rPr>
      </w:pPr>
      <w:r>
        <w:rPr>
          <w:bCs/>
          <w:color w:val="000000" w:themeColor="text1"/>
          <w:sz w:val="30"/>
          <w:szCs w:val="30"/>
          <w:highlight w:val="none"/>
          <w14:textFill>
            <w14:solidFill>
              <w14:schemeClr w14:val="tx1"/>
            </w14:solidFill>
          </w14:textFill>
        </w:rPr>
        <w:t xml:space="preserve">政府采购编号：</w:t>
      </w:r>
      <w:r>
        <w:rPr>
          <w:rFonts w:hint="eastAsia"/>
          <w:bCs/>
          <w:color w:val="000000" w:themeColor="text1"/>
          <w:sz w:val="30"/>
          <w:szCs w:val="30"/>
          <w:highlight w:val="none"/>
          <w:lang w:eastAsia="zh-CN"/>
          <w14:textFill>
            <w14:solidFill>
              <w14:schemeClr w14:val="tx1"/>
            </w14:solidFill>
          </w14:textFill>
        </w:rPr>
        <w:t xml:space="preserve">ZZ203225V72350</w:t>
      </w:r>
      <w:r>
        <w:rPr>
          <w:bCs/>
          <w:color w:val="000000" w:themeColor="text1"/>
          <w:sz w:val="30"/>
          <w:szCs w:val="30"/>
          <w:highlight w:val="none"/>
          <w14:textFill>
            <w14:solidFill>
              <w14:schemeClr w14:val="tx1"/>
            </w14:solidFill>
          </w14:textFill>
        </w:rPr>
        <w:t xml:space="preserve">（</w:t>
      </w:r>
      <w:r>
        <w:rPr>
          <w:rFonts w:hint="eastAsia"/>
          <w:bCs/>
          <w:color w:val="000000" w:themeColor="text1"/>
          <w:sz w:val="30"/>
          <w:szCs w:val="30"/>
          <w:highlight w:val="none"/>
          <w:lang w:eastAsia="zh-CN"/>
          <w14:textFill>
            <w14:solidFill>
              <w14:schemeClr w14:val="tx1"/>
            </w14:solidFill>
          </w14:textFill>
        </w:rPr>
        <w:t xml:space="preserve">JSZC-320200-JCEC-G2025-0538</w:t>
      </w:r>
      <w:r>
        <w:rPr>
          <w:bCs/>
          <w:color w:val="000000" w:themeColor="text1"/>
          <w:sz w:val="30"/>
          <w:szCs w:val="30"/>
          <w:highlight w:val="none"/>
          <w14:textFill>
            <w14:solidFill>
              <w14:schemeClr w14:val="tx1"/>
            </w14:solidFill>
          </w14:textFill>
        </w:rPr>
        <w:t xml:space="preserve">） </w:t>
      </w:r>
      <w:r/>
    </w:p>
    <w:p>
      <w:pPr>
        <w:ind w:left="2995" w:hanging="2100"/>
        <w:spacing w:line="480" w:lineRule="auto"/>
        <w:rPr>
          <w:bCs/>
          <w:color w:val="000000" w:themeColor="text1"/>
          <w:sz w:val="30"/>
          <w:szCs w:val="30"/>
          <w14:textFill>
            <w14:solidFill>
              <w14:schemeClr w14:val="tx1"/>
            </w14:solidFill>
          </w14:textFill>
        </w:rPr>
      </w:pPr>
      <w:r>
        <w:rPr>
          <w:bCs/>
          <w:color w:val="000000" w:themeColor="text1"/>
          <w:sz w:val="30"/>
          <w:szCs w:val="30"/>
          <w14:textFill>
            <w14:solidFill>
              <w14:schemeClr w14:val="tx1"/>
            </w14:solidFill>
          </w14:textFill>
        </w:rPr>
        <w:t xml:space="preserve">采购项目名称：无锡市检验检测认证研究院</w:t>
      </w:r>
      <w:r>
        <w:rPr>
          <w:rFonts w:hint="eastAsia"/>
          <w:bCs/>
          <w:color w:val="000000" w:themeColor="text1"/>
          <w:sz w:val="30"/>
          <w:szCs w:val="30"/>
          <w14:textFill>
            <w14:solidFill>
              <w14:schemeClr w14:val="tx1"/>
            </w14:solidFill>
          </w14:textFill>
        </w:rPr>
        <w:t xml:space="preserve">一批环境计量检测设备</w:t>
      </w:r>
      <w:r>
        <w:rPr>
          <w:bCs/>
          <w:color w:val="000000" w:themeColor="text1"/>
          <w:sz w:val="30"/>
          <w:szCs w:val="30"/>
          <w14:textFill>
            <w14:solidFill>
              <w14:schemeClr w14:val="tx1"/>
            </w14:solidFill>
          </w14:textFill>
        </w:rPr>
        <w:t xml:space="preserve">采购项目</w:t>
      </w:r>
      <w:r/>
    </w:p>
    <w:p>
      <w:pPr>
        <w:ind w:left="2995" w:hanging="2100"/>
        <w:spacing w:line="480" w:lineRule="auto"/>
        <w:rPr>
          <w:bCs/>
          <w:color w:val="000000" w:themeColor="text1"/>
          <w:sz w:val="30"/>
          <w:szCs w:val="30"/>
          <w14:textFill>
            <w14:solidFill>
              <w14:schemeClr w14:val="tx1"/>
            </w14:solidFill>
          </w14:textFill>
        </w:rPr>
      </w:pPr>
      <w:r>
        <w:rPr>
          <w:bCs/>
          <w:color w:val="000000" w:themeColor="text1"/>
          <w:sz w:val="30"/>
          <w:szCs w:val="30"/>
          <w14:textFill>
            <w14:solidFill>
              <w14:schemeClr w14:val="tx1"/>
            </w14:solidFill>
          </w14:textFill>
        </w:rPr>
        <w:t xml:space="preserve">采   购   人：无锡市检验检测认证研究院</w:t>
      </w:r>
      <w:r/>
    </w:p>
    <w:p>
      <w:pPr>
        <w:ind w:firstLine="900"/>
        <w:spacing w:line="480" w:lineRule="auto"/>
        <w:rPr>
          <w:bCs/>
          <w:color w:val="000000" w:themeColor="text1"/>
          <w:sz w:val="30"/>
          <w:szCs w:val="30"/>
          <w14:textFill>
            <w14:solidFill>
              <w14:schemeClr w14:val="tx1"/>
            </w14:solidFill>
          </w14:textFill>
        </w:rPr>
      </w:pPr>
      <w:r>
        <w:rPr>
          <w:bCs/>
          <w:color w:val="000000" w:themeColor="text1"/>
          <w:sz w:val="30"/>
          <w:szCs w:val="30"/>
          <w14:textFill>
            <w14:solidFill>
              <w14:schemeClr w14:val="tx1"/>
            </w14:solidFill>
          </w14:textFill>
        </w:rPr>
        <w:t xml:space="preserve">采购代理机构：江苏省设备成套股份有限公司 </w:t>
      </w:r>
      <w:r/>
    </w:p>
    <w:p>
      <w:pPr>
        <w:jc w:val="center"/>
        <w:rPr>
          <w:bCs/>
          <w:color w:val="000000" w:themeColor="text1"/>
          <w:sz w:val="32"/>
          <w14:textFill>
            <w14:solidFill>
              <w14:schemeClr w14:val="tx1"/>
            </w14:solidFill>
          </w14:textFill>
        </w:rPr>
      </w:pPr>
      <w:r>
        <w:rPr>
          <w:bCs/>
          <w:color w:val="000000" w:themeColor="text1"/>
          <w:sz w:val="32"/>
          <w14:textFill>
            <w14:solidFill>
              <w14:schemeClr w14:val="tx1"/>
            </w14:solidFill>
          </w14:textFill>
        </w:rPr>
      </w:r>
      <w:r/>
    </w:p>
    <w:p>
      <w:pPr>
        <w:jc w:val="center"/>
        <w:rPr>
          <w:bCs/>
          <w:color w:val="000000" w:themeColor="text1"/>
          <w:sz w:val="44"/>
          <w:szCs w:val="44"/>
          <w14:textFill>
            <w14:solidFill>
              <w14:schemeClr w14:val="tx1"/>
            </w14:solidFill>
          </w14:textFill>
        </w:rPr>
      </w:pPr>
      <w:r>
        <w:rPr>
          <w:bCs/>
          <w:color w:val="000000" w:themeColor="text1"/>
          <w:sz w:val="44"/>
          <w:szCs w:val="44"/>
          <w14:textFill>
            <w14:solidFill>
              <w14:schemeClr w14:val="tx1"/>
            </w14:solidFill>
          </w14:textFill>
        </w:rPr>
        <w:t xml:space="preserve">二〇二五年</w:t>
      </w:r>
      <w:r>
        <w:rPr>
          <w:rFonts w:hint="eastAsia"/>
          <w:bCs/>
          <w:color w:val="000000" w:themeColor="text1"/>
          <w:sz w:val="44"/>
          <w:szCs w:val="44"/>
          <w14:textFill>
            <w14:solidFill>
              <w14:schemeClr w14:val="tx1"/>
            </w14:solidFill>
          </w14:textFill>
        </w:rPr>
        <w:t xml:space="preserve">十一</w:t>
      </w:r>
      <w:r>
        <w:rPr>
          <w:bCs/>
          <w:color w:val="000000" w:themeColor="text1"/>
          <w:sz w:val="44"/>
          <w:szCs w:val="44"/>
          <w14:textFill>
            <w14:solidFill>
              <w14:schemeClr w14:val="tx1"/>
            </w14:solidFill>
          </w14:textFill>
        </w:rPr>
        <w:t xml:space="preserve">月</w:t>
      </w:r>
      <w:r/>
    </w:p>
    <w:p>
      <w:pPr>
        <w:pStyle w:val="1024"/>
        <w:jc w:val="center"/>
        <w:spacing w:line="36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lang w:val="zh-CN"/>
          <w14:textFill>
            <w14:solidFill>
              <w14:schemeClr w14:val="tx1"/>
            </w14:solidFill>
          </w14:textFill>
        </w:rPr>
        <w:t xml:space="preserve">目  录</w:t>
      </w:r>
      <w:r/>
    </w:p>
    <w:p>
      <w:pPr>
        <w:pStyle w:val="965"/>
        <w:spacing w:line="360" w:lineRule="auto"/>
        <w:tabs>
          <w:tab w:val="right" w:pos="8296" w:leader="dot"/>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65"/>
        <w:tabs>
          <w:tab w:val="right" w:pos="8302" w:leader="dot"/>
        </w:tabs>
        <w:rPr>
          <w:color w:val="000000" w:themeColor="text1"/>
          <w:szCs w:val="22"/>
          <w14:textFill>
            <w14:solidFill>
              <w14:schemeClr w14:val="tx1"/>
            </w14:solidFill>
          </w14:textFill>
          <w14:ligatures w14:val="standardContextual"/>
        </w:rPr>
      </w:pPr>
      <w:r>
        <w:rPr>
          <w:color w:val="000000" w:themeColor="text1"/>
          <w:sz w:val="24"/>
          <w14:textFill>
            <w14:solidFill>
              <w14:schemeClr w14:val="tx1"/>
            </w14:solidFill>
          </w14:textFill>
        </w:rPr>
        <w:fldChar w:fldCharType="begin"/>
      </w:r>
      <w:r>
        <w:rPr>
          <w:color w:val="000000" w:themeColor="text1"/>
          <w:sz w:val="24"/>
          <w14:textFill>
            <w14:solidFill>
              <w14:schemeClr w14:val="tx1"/>
            </w14:solidFill>
          </w14:textFill>
        </w:rPr>
        <w:instrText xml:space="preserve"> TOC \o "1-1" \h \z \u </w:instrText>
      </w:r>
      <w:r>
        <w:rPr>
          <w:color w:val="000000" w:themeColor="text1"/>
          <w:sz w:val="24"/>
          <w14:textFill>
            <w14:solidFill>
              <w14:schemeClr w14:val="tx1"/>
            </w14:solidFill>
          </w14:textFill>
        </w:rPr>
        <w:fldChar w:fldCharType="separate"/>
      </w:r>
      <w:r>
        <w:fldChar w:fldCharType="begin"/>
      </w:r>
      <w:r>
        <w:instrText xml:space="preserve"> HYPERLINK \l "_Toc177025985" </w:instrText>
      </w:r>
      <w:r>
        <w:fldChar w:fldCharType="separate"/>
      </w:r>
      <w:r>
        <w:rPr>
          <w:rStyle w:val="983"/>
          <w:color w:val="000000" w:themeColor="text1"/>
          <w14:textFill>
            <w14:solidFill>
              <w14:schemeClr w14:val="tx1"/>
            </w14:solidFill>
          </w14:textFill>
        </w:rPr>
        <w:t xml:space="preserve">第一章 投标邀请函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65"/>
        <w:tabs>
          <w:tab w:val="right" w:pos="8302" w:leader="dot"/>
        </w:tabs>
        <w:rPr>
          <w:color w:val="000000" w:themeColor="text1"/>
          <w:szCs w:val="22"/>
          <w14:textFill>
            <w14:solidFill>
              <w14:schemeClr w14:val="tx1"/>
            </w14:solidFill>
          </w14:textFill>
          <w14:ligatures w14:val="standardContextual"/>
        </w:rPr>
      </w:pPr>
      <w:r>
        <w:fldChar w:fldCharType="begin"/>
      </w:r>
      <w:r>
        <w:instrText xml:space="preserve"> HYPERLINK \l "_Toc177025986" </w:instrText>
      </w:r>
      <w:r>
        <w:fldChar w:fldCharType="separate"/>
      </w:r>
      <w:r>
        <w:rPr>
          <w:rStyle w:val="983"/>
          <w:color w:val="000000" w:themeColor="text1"/>
          <w14:textFill>
            <w14:solidFill>
              <w14:schemeClr w14:val="tx1"/>
            </w14:solidFill>
          </w14:textFill>
        </w:rPr>
        <w:t xml:space="preserve">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65"/>
        <w:tabs>
          <w:tab w:val="right" w:pos="8302" w:leader="dot"/>
        </w:tabs>
        <w:rPr>
          <w:color w:val="000000" w:themeColor="text1"/>
          <w:szCs w:val="22"/>
          <w14:textFill>
            <w14:solidFill>
              <w14:schemeClr w14:val="tx1"/>
            </w14:solidFill>
          </w14:textFill>
          <w14:ligatures w14:val="standardContextual"/>
        </w:rPr>
      </w:pPr>
      <w:r>
        <w:fldChar w:fldCharType="begin"/>
      </w:r>
      <w:r>
        <w:instrText xml:space="preserve"> HYPERLINK \l "_Toc177025987" </w:instrText>
      </w:r>
      <w:r>
        <w:fldChar w:fldCharType="separate"/>
      </w:r>
      <w:r>
        <w:rPr>
          <w:rStyle w:val="983"/>
          <w:color w:val="000000" w:themeColor="text1"/>
          <w14:textFill>
            <w14:solidFill>
              <w14:schemeClr w14:val="tx1"/>
            </w14:solidFill>
          </w14:textFill>
        </w:rPr>
        <w:t xml:space="preserve">第三章</w:t>
      </w:r>
      <w:r>
        <w:rPr>
          <w:rStyle w:val="983"/>
          <w:color w:val="000000" w:themeColor="text1"/>
          <w14:textFill>
            <w14:solidFill>
              <w14:schemeClr w14:val="tx1"/>
            </w14:solidFill>
          </w14:textFill>
        </w:rPr>
        <w:t xml:space="preserve">  </w:t>
      </w:r>
      <w:r>
        <w:rPr>
          <w:rStyle w:val="983"/>
          <w:color w:val="000000" w:themeColor="text1"/>
          <w14:textFill>
            <w14:solidFill>
              <w14:schemeClr w14:val="tx1"/>
            </w14:solidFill>
          </w14:textFill>
        </w:rPr>
        <w:t xml:space="preserve">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65"/>
        <w:tabs>
          <w:tab w:val="right" w:pos="8302" w:leader="dot"/>
        </w:tabs>
        <w:rPr>
          <w:color w:val="000000" w:themeColor="text1"/>
          <w:szCs w:val="22"/>
          <w14:textFill>
            <w14:solidFill>
              <w14:schemeClr w14:val="tx1"/>
            </w14:solidFill>
          </w14:textFill>
          <w14:ligatures w14:val="standardContextual"/>
        </w:rPr>
      </w:pPr>
      <w:r>
        <w:fldChar w:fldCharType="begin"/>
      </w:r>
      <w:r>
        <w:instrText xml:space="preserve"> HYPERLINK \l "_Toc177025988" </w:instrText>
      </w:r>
      <w:r>
        <w:fldChar w:fldCharType="separate"/>
      </w:r>
      <w:r>
        <w:rPr>
          <w:rStyle w:val="983"/>
          <w:color w:val="000000" w:themeColor="text1"/>
          <w14:textFill>
            <w14:solidFill>
              <w14:schemeClr w14:val="tx1"/>
            </w14:solidFill>
          </w14:textFill>
        </w:rPr>
        <w:t xml:space="preserve">第四章 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65"/>
        <w:tabs>
          <w:tab w:val="right" w:pos="8302" w:leader="dot"/>
        </w:tabs>
        <w:rPr>
          <w:color w:val="000000" w:themeColor="text1"/>
          <w:szCs w:val="22"/>
          <w14:textFill>
            <w14:solidFill>
              <w14:schemeClr w14:val="tx1"/>
            </w14:solidFill>
          </w14:textFill>
          <w14:ligatures w14:val="standardContextual"/>
        </w:rPr>
      </w:pPr>
      <w:r>
        <w:fldChar w:fldCharType="begin"/>
      </w:r>
      <w:r>
        <w:instrText xml:space="preserve"> HYPERLINK \l "_Toc177025989" </w:instrText>
      </w:r>
      <w:r>
        <w:fldChar w:fldCharType="separate"/>
      </w:r>
      <w:r>
        <w:rPr>
          <w:rStyle w:val="983"/>
          <w:color w:val="000000" w:themeColor="text1"/>
          <w14:textFill>
            <w14:solidFill>
              <w14:schemeClr w14:val="tx1"/>
            </w14:solidFill>
          </w14:textFill>
        </w:rPr>
        <w:t xml:space="preserve">第五章 合同主要条款及格式</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1</w:t>
      </w:r>
      <w:r/>
    </w:p>
    <w:p>
      <w:pPr>
        <w:pStyle w:val="965"/>
        <w:tabs>
          <w:tab w:val="right" w:pos="8302" w:leader="dot"/>
        </w:tabs>
        <w:rPr>
          <w:color w:val="000000" w:themeColor="text1"/>
          <w:szCs w:val="22"/>
          <w14:textFill>
            <w14:solidFill>
              <w14:schemeClr w14:val="tx1"/>
            </w14:solidFill>
          </w14:textFill>
          <w14:ligatures w14:val="standardContextual"/>
        </w:rPr>
      </w:pPr>
      <w:r>
        <w:fldChar w:fldCharType="begin"/>
      </w:r>
      <w:r>
        <w:instrText xml:space="preserve"> HYPERLINK \l "_Toc177025990" </w:instrText>
      </w:r>
      <w:r>
        <w:fldChar w:fldCharType="separate"/>
      </w:r>
      <w:r>
        <w:rPr>
          <w:rStyle w:val="983"/>
          <w:color w:val="000000" w:themeColor="text1"/>
          <w:lang w:val="zh-CN"/>
          <w14:textFill>
            <w14:solidFill>
              <w14:schemeClr w14:val="tx1"/>
            </w14:solidFill>
          </w14:textFill>
        </w:rPr>
        <w:t xml:space="preserve">第六章</w:t>
      </w:r>
      <w:r>
        <w:rPr>
          <w:rStyle w:val="983"/>
          <w:color w:val="000000" w:themeColor="text1"/>
          <w14:textFill>
            <w14:solidFill>
              <w14:schemeClr w14:val="tx1"/>
            </w14:solidFill>
          </w14:textFill>
        </w:rPr>
        <w:t xml:space="preserve"> </w:t>
      </w:r>
      <w:r>
        <w:rPr>
          <w:rStyle w:val="983"/>
          <w:color w:val="000000" w:themeColor="text1"/>
          <w:lang w:val="zh-CN"/>
          <w14:textFill>
            <w14:solidFill>
              <w14:schemeClr w14:val="tx1"/>
            </w14:solidFill>
          </w14:textFill>
        </w:rPr>
        <w:t xml:space="preserve">附</w:t>
      </w:r>
      <w:r>
        <w:rPr>
          <w:rStyle w:val="983"/>
          <w:color w:val="000000" w:themeColor="text1"/>
          <w14:textFill>
            <w14:solidFill>
              <w14:schemeClr w14:val="tx1"/>
            </w14:solidFill>
          </w14:textFill>
        </w:rPr>
        <w:t xml:space="preserve">  </w:t>
      </w:r>
      <w:r>
        <w:rPr>
          <w:rStyle w:val="983"/>
          <w:color w:val="000000" w:themeColor="text1"/>
          <w:lang w:val="zh-CN"/>
          <w14:textFill>
            <w14:solidFill>
              <w14:schemeClr w14:val="tx1"/>
            </w14:solidFill>
          </w14:textFill>
        </w:rPr>
        <w:t xml:space="preserve">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spacing w:line="360" w:lineRule="auto"/>
        <w:rPr>
          <w:color w:val="000000" w:themeColor="text1"/>
          <w:szCs w:val="21"/>
          <w14:textFill>
            <w14:solidFill>
              <w14:schemeClr w14:val="tx1"/>
            </w14:solidFill>
          </w14:textFill>
        </w:rPr>
      </w:pPr>
      <w:r>
        <w:rPr>
          <w:color w:val="000000" w:themeColor="text1"/>
          <w:sz w:val="24"/>
          <w14:textFill>
            <w14:solidFill>
              <w14:schemeClr w14:val="tx1"/>
            </w14:solidFill>
          </w14:textFill>
        </w:rPr>
        <w:fldChar w:fldCharType="end"/>
      </w:r>
      <w:r/>
    </w:p>
    <w:p>
      <w:pPr>
        <w:jc w:val="center"/>
        <w:spacing w:line="360" w:lineRule="auto"/>
        <w:shd w:val="clear" w:color="auto" w:fill="ffffff"/>
        <w:widowControl/>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jc w:val="left"/>
        <w:spacing w:line="360" w:lineRule="auto"/>
        <w:widowControl/>
        <w:rPr>
          <w:b/>
          <w:bCs/>
          <w:color w:val="000000" w:themeColor="text1"/>
          <w:szCs w:val="21"/>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titlePg/>
        </w:sectPr>
      </w:pPr>
      <w:r>
        <w:rPr>
          <w:b/>
          <w:bCs/>
          <w:color w:val="000000" w:themeColor="text1"/>
          <w:szCs w:val="21"/>
          <w14:textFill>
            <w14:solidFill>
              <w14:schemeClr w14:val="tx1"/>
            </w14:solidFill>
          </w14:textFill>
        </w:rPr>
      </w:r>
      <w:r/>
    </w:p>
    <w:p>
      <w:pPr>
        <w:pStyle w:val="936"/>
        <w:spacing w:line="360" w:lineRule="auto"/>
        <w:rPr>
          <w:color w:val="000000" w:themeColor="text1"/>
          <w:sz w:val="28"/>
          <w:szCs w:val="28"/>
          <w14:textFill>
            <w14:solidFill>
              <w14:schemeClr w14:val="tx1"/>
            </w14:solidFill>
          </w14:textFill>
        </w:rPr>
      </w:pPr>
      <w:r/>
      <w:bookmarkStart w:id="1" w:name="_Toc481057143"/>
      <w:r/>
      <w:bookmarkStart w:id="2" w:name="OLE_LINK1"/>
      <w:r/>
      <w:bookmarkStart w:id="3" w:name="_Hlk82872521"/>
      <w:r>
        <w:rPr>
          <w:color w:val="000000" w:themeColor="text1"/>
          <w:sz w:val="28"/>
          <w:szCs w:val="28"/>
          <w14:textFill>
            <w14:solidFill>
              <w14:schemeClr w14:val="tx1"/>
            </w14:solidFill>
          </w14:textFill>
        </w:rPr>
        <w:t xml:space="preserve"> </w:t>
      </w:r>
      <w:bookmarkEnd w:id="1"/>
      <w:r/>
      <w:bookmarkEnd w:id="2"/>
      <w:r/>
      <w:bookmarkStart w:id="4" w:name="_Toc177025985"/>
      <w:r>
        <w:rPr>
          <w:color w:val="000000" w:themeColor="text1"/>
          <w:sz w:val="28"/>
          <w:szCs w:val="28"/>
          <w14:textFill>
            <w14:solidFill>
              <w14:schemeClr w14:val="tx1"/>
            </w14:solidFill>
          </w14:textFill>
        </w:rPr>
        <w:t xml:space="preserve">投标邀请函</w:t>
      </w:r>
      <w:bookmarkEnd w:id="4"/>
      <w:r/>
      <w:r/>
    </w:p>
    <w:p>
      <w:pPr>
        <w:ind w:firstLine="480"/>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我司受无锡市检验检测认证研究院委托，对其无锡市检验检测认证研究院</w:t>
      </w:r>
      <w:r>
        <w:rPr>
          <w:rFonts w:hint="eastAsia"/>
          <w:bCs/>
          <w:color w:val="000000" w:themeColor="text1"/>
          <w:sz w:val="24"/>
          <w14:textFill>
            <w14:solidFill>
              <w14:schemeClr w14:val="tx1"/>
            </w14:solidFill>
          </w14:textFill>
        </w:rPr>
        <w:t xml:space="preserve">一批环境计量检测设备</w:t>
      </w:r>
      <w:r>
        <w:rPr>
          <w:bCs/>
          <w:color w:val="000000" w:themeColor="text1"/>
          <w:sz w:val="24"/>
          <w14:textFill>
            <w14:solidFill>
              <w14:schemeClr w14:val="tx1"/>
            </w14:solidFill>
          </w14:textFill>
        </w:rPr>
        <w:t xml:space="preserve">采购项目进行公开招标采购，欢迎你单位参加投标并提请注意下列附表中的相关事项：</w:t>
      </w:r>
      <w:r/>
    </w:p>
    <w:tbl>
      <w:tblPr>
        <w:tblStyle w:val="9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7886"/>
      </w:tblGrid>
      <w:tr>
        <w:trPr>
          <w:trHeight w:val="70"/>
        </w:trPr>
        <w:tc>
          <w:tcPr>
            <w:tcBorders>
              <w:top w:val="single" w:color="auto" w:sz="4" w:space="0"/>
              <w:left w:val="single" w:color="auto" w:sz="4" w:space="0"/>
              <w:bottom w:val="single" w:color="auto" w:sz="4" w:space="0"/>
              <w:right w:val="single" w:color="auto" w:sz="4" w:space="0"/>
            </w:tcBorders>
            <w:tcW w:w="372" w:type="pct"/>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内    容</w:t>
            </w:r>
            <w:r/>
          </w:p>
        </w:tc>
      </w:tr>
      <w:tr>
        <w:trPr>
          <w:trHeight w:val="1387"/>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tabs>
                <w:tab w:val="left" w:pos="6090" w:leader="none"/>
              </w:tabs>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项目名称：无锡市检验检测认证研究院</w:t>
            </w:r>
            <w:r>
              <w:rPr>
                <w:rFonts w:hint="eastAsia"/>
                <w:bCs/>
                <w:color w:val="000000" w:themeColor="text1"/>
                <w:sz w:val="24"/>
                <w14:textFill>
                  <w14:solidFill>
                    <w14:schemeClr w14:val="tx1"/>
                  </w14:solidFill>
                </w14:textFill>
              </w:rPr>
              <w:t xml:space="preserve">一批环境计量检测设备</w:t>
            </w:r>
            <w:r>
              <w:rPr>
                <w:bCs/>
                <w:color w:val="000000" w:themeColor="text1"/>
                <w:sz w:val="24"/>
                <w14:textFill>
                  <w14:solidFill>
                    <w14:schemeClr w14:val="tx1"/>
                  </w14:solidFill>
                </w14:textFill>
              </w:rPr>
              <w:t xml:space="preserve">采购项目</w:t>
            </w:r>
            <w:r/>
          </w:p>
          <w:p>
            <w:pPr>
              <w:spacing w:after="0" w:line="240" w:lineRule="auto"/>
              <w:tabs>
                <w:tab w:val="left" w:pos="6090" w:leader="none"/>
              </w:tabs>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采购编号：</w:t>
            </w:r>
            <w:r>
              <w:rPr>
                <w:rFonts w:hint="eastAsia"/>
                <w:bCs/>
                <w:color w:val="000000" w:themeColor="text1"/>
                <w:sz w:val="24"/>
                <w:lang w:eastAsia="zh-CN"/>
                <w14:textFill>
                  <w14:solidFill>
                    <w14:schemeClr w14:val="tx1"/>
                  </w14:solidFill>
                </w14:textFill>
              </w:rPr>
              <w:t xml:space="preserve">ZZ203225V72350</w:t>
            </w:r>
            <w:r>
              <w:rPr>
                <w:bCs/>
                <w:color w:val="000000" w:themeColor="text1"/>
                <w:sz w:val="24"/>
                <w14:textFill>
                  <w14:solidFill>
                    <w14:schemeClr w14:val="tx1"/>
                  </w14:solidFill>
                </w14:textFill>
              </w:rPr>
              <w:t xml:space="preserve">（</w:t>
            </w:r>
            <w:r>
              <w:rPr>
                <w:rFonts w:hint="eastAsia"/>
                <w:bCs/>
                <w:color w:val="000000" w:themeColor="text1"/>
                <w:sz w:val="24"/>
                <w:lang w:eastAsia="zh-CN"/>
                <w14:textFill>
                  <w14:solidFill>
                    <w14:schemeClr w14:val="tx1"/>
                  </w14:solidFill>
                </w14:textFill>
              </w:rPr>
              <w:t xml:space="preserve">JSZC-320200-JCEC-G2025-0538</w:t>
            </w:r>
            <w:r>
              <w:rPr>
                <w:bCs/>
                <w:color w:val="000000" w:themeColor="text1"/>
                <w:sz w:val="24"/>
                <w14:textFill>
                  <w14:solidFill>
                    <w14:schemeClr w14:val="tx1"/>
                  </w14:solidFill>
                </w14:textFill>
              </w:rPr>
              <w:t xml:space="preserve">）</w:t>
            </w:r>
            <w:r/>
          </w:p>
          <w:p>
            <w:pPr>
              <w:spacing w:after="0" w:line="240" w:lineRule="auto"/>
              <w:tabs>
                <w:tab w:val="left" w:pos="6090" w:leader="none"/>
              </w:tabs>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采购人：无锡市检验检测认证研究院  </w:t>
            </w:r>
            <w:r/>
          </w:p>
          <w:p>
            <w:pPr>
              <w:spacing w:after="0" w:line="240" w:lineRule="auto"/>
              <w:tabs>
                <w:tab w:val="left" w:pos="6090" w:leader="none"/>
              </w:tabs>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采购方式：公开招标</w:t>
            </w:r>
            <w:r/>
          </w:p>
        </w:tc>
      </w:tr>
      <w:tr>
        <w:trPr>
          <w:trHeight w:val="70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采购代理机构：江苏省设备成套股份有限公司</w:t>
            </w:r>
            <w:r/>
          </w:p>
          <w:p>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采购机构地址：无锡市梁溪区汇太路33号积高科技园315室</w:t>
            </w:r>
            <w:r/>
          </w:p>
        </w:tc>
      </w:tr>
      <w:tr>
        <w:trPr>
          <w:trHeight w:val="90"/>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采购项目概况、要求：</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无锡市检验检测认证研究院</w:t>
            </w:r>
            <w:r>
              <w:rPr>
                <w:rFonts w:hint="eastAsia"/>
                <w:bCs/>
                <w:color w:val="000000" w:themeColor="text1"/>
                <w:sz w:val="24"/>
                <w14:textFill>
                  <w14:solidFill>
                    <w14:schemeClr w14:val="tx1"/>
                  </w14:solidFill>
                </w14:textFill>
              </w:rPr>
              <w:t xml:space="preserve">一批环境计量检测设备</w:t>
            </w:r>
            <w:r>
              <w:rPr>
                <w:bCs/>
                <w:color w:val="000000" w:themeColor="text1"/>
                <w:sz w:val="24"/>
                <w14:textFill>
                  <w14:solidFill>
                    <w14:schemeClr w14:val="tx1"/>
                  </w14:solidFill>
                </w14:textFill>
              </w:rPr>
              <w:t xml:space="preserve">采购项目；</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完工期：</w:t>
            </w:r>
            <w:r>
              <w:rPr>
                <w:rFonts w:hint="eastAsia"/>
                <w:bCs/>
                <w:color w:val="000000" w:themeColor="text1"/>
                <w:sz w:val="24"/>
                <w14:textFill>
                  <w14:solidFill>
                    <w14:schemeClr w14:val="tx1"/>
                  </w14:solidFill>
                </w14:textFill>
              </w:rPr>
              <w:t xml:space="preserve">合同签订生效后90日历天内完成供货、安装、调试，交付采购人使用。</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质量要求：符合国家标准、行业标准、地方标准或者其他标准、规范；</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免费质保期：</w:t>
            </w:r>
            <w:r>
              <w:rPr>
                <w:rFonts w:hint="eastAsia"/>
                <w:bCs/>
                <w:color w:val="000000" w:themeColor="text1"/>
                <w:sz w:val="24"/>
                <w14:textFill>
                  <w14:solidFill>
                    <w14:schemeClr w14:val="tx1"/>
                  </w14:solidFill>
                </w14:textFill>
              </w:rPr>
              <w:t xml:space="preserve">2年</w:t>
            </w:r>
            <w:r>
              <w:rPr>
                <w:bCs/>
                <w:color w:val="000000" w:themeColor="text1"/>
                <w:sz w:val="24"/>
                <w14:textFill>
                  <w14:solidFill>
                    <w14:schemeClr w14:val="tx1"/>
                  </w14:solidFill>
                </w14:textFill>
              </w:rPr>
              <w:t xml:space="preserve">；</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交货地点：无锡市春新东路8号（无锡市检验检测认证研究院）</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本项目是否专门面向中小企业：是；</w:t>
            </w:r>
            <w:r/>
          </w:p>
          <w:p>
            <w:pPr>
              <w:ind w:firstLine="480"/>
              <w:spacing w:after="0" w:line="240" w:lineRule="auto"/>
              <w:rPr>
                <w:bCs/>
                <w:color w:val="000000" w:themeColor="text1"/>
                <w:sz w:val="24"/>
                <w14:textFill>
                  <w14:solidFill>
                    <w14:schemeClr w14:val="tx1"/>
                  </w14:solidFill>
                </w14:textFill>
              </w:rPr>
            </w:pPr>
            <w:r/>
            <w:bookmarkStart w:id="5" w:name="_Hlk177028689"/>
            <w:r>
              <w:rPr>
                <w:bCs/>
                <w:color w:val="000000" w:themeColor="text1"/>
                <w:sz w:val="24"/>
                <w14:textFill>
                  <w14:solidFill>
                    <w14:schemeClr w14:val="tx1"/>
                  </w14:solidFill>
                </w14:textFill>
              </w:rPr>
              <w:t xml:space="preserve">本项目（是/否）接受联合体投标：否</w:t>
            </w:r>
            <w:bookmarkEnd w:id="5"/>
            <w:r>
              <w:rPr>
                <w:bCs/>
                <w:color w:val="000000" w:themeColor="text1"/>
                <w:sz w:val="24"/>
                <w14:textFill>
                  <w14:solidFill>
                    <w14:schemeClr w14:val="tx1"/>
                  </w14:solidFill>
                </w14:textFill>
              </w:rPr>
              <w:t xml:space="preserve">；</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本项目标的所属行业：工业；</w:t>
            </w:r>
            <w:r/>
          </w:p>
          <w:p>
            <w:pPr>
              <w:ind w:firstLine="480"/>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采购预算金额：</w:t>
            </w:r>
            <w:r>
              <w:rPr>
                <w:rFonts w:hint="eastAsia"/>
                <w:bCs/>
                <w:color w:val="000000" w:themeColor="text1"/>
                <w:sz w:val="24"/>
                <w14:textFill>
                  <w14:solidFill>
                    <w14:schemeClr w14:val="tx1"/>
                  </w14:solidFill>
                </w14:textFill>
              </w:rPr>
              <w:t xml:space="preserve">150.5</w:t>
            </w:r>
            <w:r>
              <w:rPr>
                <w:bCs/>
                <w:color w:val="000000" w:themeColor="text1"/>
                <w:sz w:val="24"/>
                <w14:textFill>
                  <w14:solidFill>
                    <w14:schemeClr w14:val="tx1"/>
                  </w14:solidFill>
                </w14:textFill>
              </w:rPr>
              <w:t xml:space="preserve">万</w:t>
            </w:r>
            <w:r>
              <w:rPr>
                <w:rFonts w:hint="eastAsia"/>
                <w:bCs/>
                <w:color w:val="000000" w:themeColor="text1"/>
                <w:sz w:val="24"/>
                <w14:textFill>
                  <w14:solidFill>
                    <w14:schemeClr w14:val="tx1"/>
                  </w14:solidFill>
                </w14:textFill>
              </w:rPr>
              <w:t xml:space="preserve">元</w:t>
            </w:r>
            <w:r>
              <w:rPr>
                <w:bCs/>
                <w:color w:val="000000" w:themeColor="text1"/>
                <w:sz w:val="24"/>
                <w14:textFill>
                  <w14:solidFill>
                    <w14:schemeClr w14:val="tx1"/>
                  </w14:solidFill>
                </w14:textFill>
              </w:rPr>
              <w:t xml:space="preserve">，项目设备如下：可燃气体探测器检测装置</w:t>
            </w:r>
            <w:r>
              <w:rPr>
                <w:rFonts w:hint="eastAsia"/>
                <w:bCs/>
                <w:color w:val="000000"/>
                <w:sz w:val="24"/>
              </w:rPr>
              <w:t xml:space="preserve">93</w:t>
            </w:r>
            <w:r>
              <w:rPr>
                <w:bCs/>
                <w:color w:val="000000"/>
                <w:sz w:val="24"/>
              </w:rPr>
              <w:t xml:space="preserve">万元；气溶胶发雾混匀装置</w:t>
            </w:r>
            <w:r>
              <w:rPr>
                <w:rFonts w:hint="eastAsia"/>
                <w:bCs/>
                <w:sz w:val="24"/>
              </w:rPr>
              <w:t xml:space="preserve">21</w:t>
            </w:r>
            <w:r>
              <w:rPr>
                <w:bCs/>
                <w:sz w:val="24"/>
              </w:rPr>
              <w:t xml:space="preserve">万元</w:t>
            </w:r>
            <w:r>
              <w:rPr>
                <w:rFonts w:hint="eastAsia"/>
                <w:bCs/>
                <w:sz w:val="24"/>
              </w:rPr>
              <w:t xml:space="preserve">；精密气溶胶光度计13万元；便携式流量压力校准装置2.5万元；高低温湿热试验箱21万元</w:t>
            </w:r>
            <w:r/>
          </w:p>
          <w:p>
            <w:pPr>
              <w:ind w:firstLine="480"/>
              <w:spacing w:after="0" w:line="240" w:lineRule="auto"/>
              <w:rPr>
                <w:bCs/>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最高限价：</w:t>
            </w:r>
            <w:r>
              <w:rPr>
                <w:rFonts w:hint="eastAsia"/>
                <w:bCs/>
                <w:color w:val="000000" w:themeColor="text1"/>
                <w:sz w:val="24"/>
                <w14:textFill>
                  <w14:solidFill>
                    <w14:schemeClr w14:val="tx1"/>
                  </w14:solidFill>
                </w14:textFill>
              </w:rPr>
              <w:t xml:space="preserve">150.5</w:t>
            </w:r>
            <w:r>
              <w:rPr>
                <w:bCs/>
                <w:color w:val="000000" w:themeColor="text1"/>
                <w:sz w:val="24"/>
                <w14:textFill>
                  <w14:solidFill>
                    <w14:schemeClr w14:val="tx1"/>
                  </w14:solidFill>
                </w14:textFill>
              </w:rPr>
              <w:t xml:space="preserve">万</w:t>
            </w:r>
            <w:r>
              <w:rPr>
                <w:rFonts w:hint="eastAsia"/>
                <w:bCs/>
                <w:color w:val="000000" w:themeColor="text1"/>
                <w:sz w:val="24"/>
                <w14:textFill>
                  <w14:solidFill>
                    <w14:schemeClr w14:val="tx1"/>
                  </w14:solidFill>
                </w14:textFill>
              </w:rPr>
              <w:t xml:space="preserve">元</w:t>
            </w:r>
            <w:r>
              <w:rPr>
                <w:bCs/>
                <w:color w:val="000000" w:themeColor="text1"/>
                <w:sz w:val="24"/>
                <w14:textFill>
                  <w14:solidFill>
                    <w14:schemeClr w14:val="tx1"/>
                  </w14:solidFill>
                </w14:textFill>
              </w:rPr>
              <w:t xml:space="preserve">，项目设备如下：可燃气体探测器检测装置</w:t>
            </w:r>
            <w:r>
              <w:rPr>
                <w:rFonts w:hint="eastAsia"/>
                <w:bCs/>
                <w:color w:val="000000"/>
                <w:sz w:val="24"/>
              </w:rPr>
              <w:t xml:space="preserve">93</w:t>
            </w:r>
            <w:r>
              <w:rPr>
                <w:bCs/>
                <w:color w:val="000000"/>
                <w:sz w:val="24"/>
              </w:rPr>
              <w:t xml:space="preserve">万元；气溶胶发雾混匀装置</w:t>
            </w:r>
            <w:r>
              <w:rPr>
                <w:rFonts w:hint="eastAsia"/>
                <w:bCs/>
                <w:sz w:val="24"/>
              </w:rPr>
              <w:t xml:space="preserve">21</w:t>
            </w:r>
            <w:r>
              <w:rPr>
                <w:bCs/>
                <w:sz w:val="24"/>
              </w:rPr>
              <w:t xml:space="preserve">万元</w:t>
            </w:r>
            <w:r>
              <w:rPr>
                <w:rFonts w:hint="eastAsia"/>
                <w:bCs/>
                <w:sz w:val="24"/>
              </w:rPr>
              <w:t xml:space="preserve">；精密气溶胶光度计13万元；便携式流量压力校准装置2.5万元；高低温湿热试验箱21万元</w:t>
            </w:r>
            <w:r/>
          </w:p>
        </w:tc>
      </w:tr>
      <w:tr>
        <w:trPr>
          <w:trHeight w:val="259"/>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jc w:val="left"/>
              <w:spacing w:after="0" w:line="240" w:lineRule="auto"/>
              <w:widowControl/>
              <w:rPr>
                <w:color w:val="000000" w:themeColor="text1"/>
                <w:sz w:val="24"/>
                <w:szCs w:val="21"/>
                <w14:textFill>
                  <w14:solidFill>
                    <w14:schemeClr w14:val="tx1"/>
                  </w14:solidFill>
                </w14:textFill>
              </w:rPr>
            </w:pPr>
            <w:r>
              <w:rPr>
                <w:bCs/>
                <w:color w:val="000000" w:themeColor="text1"/>
                <w:sz w:val="24"/>
                <w:szCs w:val="21"/>
                <w14:textFill>
                  <w14:solidFill>
                    <w14:schemeClr w14:val="tx1"/>
                  </w14:solidFill>
                </w14:textFill>
              </w:rPr>
              <w:t xml:space="preserve">投标供应商条件：</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1.具备《中华人民共和国政府采购法》第二十二条规定的条件；</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2.落实政府采购政策需满足的资格要求：无</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3.具备采购人根据招标项目的特殊要求规定的以下特定条件：</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（1）未被“信用中国”网站列入失信被执行人、重大税收违法案件当事人名单、政府采购严重违法失信行为记录名单；</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（2）投标供应商在中国大陆境内合法注册；</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（3）投标供应商为具备相关产品制造或销售能力的制造商或者代理商；</w:t>
            </w:r>
            <w:r/>
          </w:p>
          <w:p>
            <w:pPr>
              <w:ind w:firstLine="480"/>
              <w:jc w:val="left"/>
              <w:spacing w:after="0" w:line="240" w:lineRule="auto"/>
              <w:widowControl/>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（4）本项目不接受联合投标。</w:t>
            </w:r>
            <w:r/>
          </w:p>
          <w:p>
            <w:pPr>
              <w:ind w:firstLine="480"/>
              <w:jc w:val="left"/>
              <w:spacing w:after="0" w:line="240" w:lineRule="auto"/>
              <w:widowControl/>
            </w:pPr>
            <w:r>
              <w:rPr>
                <w:color w:val="000000" w:themeColor="text1"/>
                <w:sz w:val="24"/>
                <w:szCs w:val="21"/>
                <w14:textFill>
                  <w14:solidFill>
                    <w14:schemeClr w14:val="tx1"/>
                  </w14:solidFill>
                </w14:textFill>
              </w:rPr>
              <w:t xml:space="preserve">（5）授权委托人应为投标供应商在职职工；</w:t>
            </w:r>
            <w:r/>
          </w:p>
        </w:tc>
      </w:tr>
      <w:tr>
        <w:trPr>
          <w:trHeight w:val="66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ind w:left="-59"/>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答疑会时间：无</w:t>
            </w:r>
            <w:r/>
          </w:p>
          <w:p>
            <w:pPr>
              <w:ind w:left="-59"/>
              <w:spacing w:after="0" w:line="240" w:lineRule="auto"/>
              <w:rPr>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答疑会地点：无</w:t>
            </w:r>
            <w:r/>
          </w:p>
        </w:tc>
      </w:tr>
      <w:tr>
        <w:trPr>
          <w:trHeight w:val="42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627" w:type="pct"/>
            <w:vAlign w:val="center"/>
            <w:textDirection w:val="lrTb"/>
            <w:noWrap w:val="false"/>
          </w:tcPr>
          <w:p>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投标有效期：投标截止之日起60天</w:t>
            </w:r>
            <w:r/>
          </w:p>
        </w:tc>
      </w:tr>
      <w:tr>
        <w:trPr>
          <w:trHeight w:val="1286"/>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投标文件开始接受时间：</w:t>
            </w:r>
            <w:r>
              <w:rPr>
                <w:rFonts w:hint="eastAsia"/>
                <w:color w:val="000000" w:themeColor="text1"/>
                <w:sz w:val="24"/>
                <w:szCs w:val="20"/>
                <w14:textFill>
                  <w14:solidFill>
                    <w14:schemeClr w14:val="tx1"/>
                  </w14:solidFill>
                </w14:textFill>
              </w:rPr>
              <w:t xml:space="preserve">2025年</w:t>
            </w:r>
            <w:r>
              <w:rPr>
                <w:rFonts w:hint="eastAsia"/>
                <w:color w:val="000000" w:themeColor="text1"/>
                <w:sz w:val="24"/>
                <w:szCs w:val="20"/>
                <w:lang w:val="en-US" w:eastAsia="zh-CN"/>
                <w14:textFill>
                  <w14:solidFill>
                    <w14:schemeClr w14:val="tx1"/>
                  </w14:solidFill>
                </w14:textFill>
              </w:rPr>
              <w:t xml:space="preserve">12</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lang w:val="en-US" w:eastAsia="zh-CN"/>
                <w14:textFill>
                  <w14:solidFill>
                    <w14:schemeClr w14:val="tx1"/>
                  </w14:solidFill>
                </w14:textFill>
              </w:rPr>
              <w:t xml:space="preserve">15</w:t>
            </w:r>
            <w:r>
              <w:rPr>
                <w:rFonts w:hint="eastAsia"/>
                <w:color w:val="000000" w:themeColor="text1"/>
                <w:sz w:val="24"/>
                <w:szCs w:val="20"/>
                <w14:textFill>
                  <w14:solidFill>
                    <w14:schemeClr w14:val="tx1"/>
                  </w14:solidFill>
                </w14:textFill>
              </w:rPr>
              <w:t xml:space="preserve">日</w:t>
            </w:r>
            <w:r>
              <w:rPr>
                <w:color w:val="000000" w:themeColor="text1"/>
                <w:sz w:val="24"/>
                <w:szCs w:val="20"/>
                <w14:textFill>
                  <w14:solidFill>
                    <w14:schemeClr w14:val="tx1"/>
                  </w14:solidFill>
                </w14:textFill>
              </w:rPr>
              <w:t xml:space="preserve">13:00始</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投标文件接收截止时间：</w:t>
            </w:r>
            <w:r>
              <w:rPr>
                <w:rFonts w:hint="eastAsia"/>
                <w:color w:val="000000" w:themeColor="text1"/>
                <w:sz w:val="24"/>
                <w:szCs w:val="20"/>
                <w14:textFill>
                  <w14:solidFill>
                    <w14:schemeClr w14:val="tx1"/>
                  </w14:solidFill>
                </w14:textFill>
              </w:rPr>
              <w:t xml:space="preserve">2025年</w:t>
            </w:r>
            <w:r>
              <w:rPr>
                <w:rFonts w:hint="eastAsia"/>
                <w:color w:val="000000" w:themeColor="text1"/>
                <w:sz w:val="24"/>
                <w:szCs w:val="20"/>
                <w:lang w:val="en-US" w:eastAsia="zh-CN"/>
                <w14:textFill>
                  <w14:solidFill>
                    <w14:schemeClr w14:val="tx1"/>
                  </w14:solidFill>
                </w14:textFill>
              </w:rPr>
              <w:t xml:space="preserve">12</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lang w:val="en-US" w:eastAsia="zh-CN"/>
                <w14:textFill>
                  <w14:solidFill>
                    <w14:schemeClr w14:val="tx1"/>
                  </w14:solidFill>
                </w14:textFill>
              </w:rPr>
              <w:t xml:space="preserve">15</w:t>
            </w:r>
            <w:r>
              <w:rPr>
                <w:rFonts w:hint="eastAsia"/>
                <w:color w:val="000000" w:themeColor="text1"/>
                <w:sz w:val="24"/>
                <w:szCs w:val="20"/>
                <w14:textFill>
                  <w14:solidFill>
                    <w14:schemeClr w14:val="tx1"/>
                  </w14:solidFill>
                </w14:textFill>
              </w:rPr>
              <w:t xml:space="preserve">日</w:t>
            </w:r>
            <w:r>
              <w:rPr>
                <w:color w:val="000000" w:themeColor="text1"/>
                <w:sz w:val="24"/>
                <w:szCs w:val="20"/>
                <w14:textFill>
                  <w14:solidFill>
                    <w14:schemeClr w14:val="tx1"/>
                  </w14:solidFill>
                </w14:textFill>
              </w:rPr>
              <w:t xml:space="preserve">13:30止</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截止期后的投标文件恕不接收。</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投标地点：苏采云平台</w:t>
            </w:r>
            <w:r/>
          </w:p>
        </w:tc>
      </w:tr>
      <w:tr>
        <w:trPr>
          <w:trHeight w:val="701"/>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4627" w:type="pct"/>
            <w:vAlign w:val="center"/>
            <w:textDirection w:val="lrTb"/>
            <w:noWrap w:val="false"/>
          </w:tcPr>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开标时间：</w:t>
            </w:r>
            <w:r>
              <w:rPr>
                <w:rFonts w:hint="eastAsia"/>
                <w:color w:val="000000" w:themeColor="text1"/>
                <w:sz w:val="24"/>
                <w:szCs w:val="20"/>
                <w14:textFill>
                  <w14:solidFill>
                    <w14:schemeClr w14:val="tx1"/>
                  </w14:solidFill>
                </w14:textFill>
              </w:rPr>
              <w:t xml:space="preserve">2025年</w:t>
            </w:r>
            <w:r>
              <w:rPr>
                <w:rFonts w:hint="eastAsia"/>
                <w:color w:val="000000" w:themeColor="text1"/>
                <w:sz w:val="24"/>
                <w:szCs w:val="20"/>
                <w:lang w:val="en-US" w:eastAsia="zh-CN"/>
                <w14:textFill>
                  <w14:solidFill>
                    <w14:schemeClr w14:val="tx1"/>
                  </w14:solidFill>
                </w14:textFill>
              </w:rPr>
              <w:t xml:space="preserve">12</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lang w:val="en-US" w:eastAsia="zh-CN"/>
                <w14:textFill>
                  <w14:solidFill>
                    <w14:schemeClr w14:val="tx1"/>
                  </w14:solidFill>
                </w14:textFill>
              </w:rPr>
              <w:t xml:space="preserve">15</w:t>
            </w:r>
            <w:r>
              <w:rPr>
                <w:rFonts w:hint="eastAsia"/>
                <w:color w:val="000000" w:themeColor="text1"/>
                <w:sz w:val="24"/>
                <w:szCs w:val="20"/>
                <w14:textFill>
                  <w14:solidFill>
                    <w14:schemeClr w14:val="tx1"/>
                  </w14:solidFill>
                </w14:textFill>
              </w:rPr>
              <w:t xml:space="preserve">日</w:t>
            </w:r>
            <w:r>
              <w:rPr>
                <w:color w:val="000000" w:themeColor="text1"/>
                <w:sz w:val="24"/>
                <w:szCs w:val="20"/>
                <w14:textFill>
                  <w14:solidFill>
                    <w14:schemeClr w14:val="tx1"/>
                  </w14:solidFill>
                </w14:textFill>
              </w:rPr>
              <w:t xml:space="preserve">13:30</w:t>
            </w:r>
            <w:r/>
          </w:p>
          <w:p>
            <w:pPr>
              <w:jc w:val="left"/>
              <w:spacing w:after="0" w:line="240" w:lineRule="auto"/>
              <w:widowControl/>
              <w:tabs>
                <w:tab w:val="left" w:pos="0" w:leader="none"/>
              </w:tabs>
              <w:rPr>
                <w:color w:val="000000" w:themeColor="text1"/>
                <w:sz w:val="24"/>
                <w14:textFill>
                  <w14:solidFill>
                    <w14:schemeClr w14:val="tx1"/>
                  </w14:solidFill>
                </w14:textFill>
              </w:rPr>
            </w:pPr>
            <w:r>
              <w:rPr>
                <w:color w:val="000000" w:themeColor="text1"/>
                <w:sz w:val="24"/>
                <w:szCs w:val="20"/>
                <w14:textFill>
                  <w14:solidFill>
                    <w14:schemeClr w14:val="tx1"/>
                  </w14:solidFill>
                </w14:textFill>
              </w:rPr>
              <w:t xml:space="preserve">开标地点：苏采云平台</w:t>
            </w:r>
            <w:r/>
          </w:p>
        </w:tc>
      </w:tr>
      <w:tr>
        <w:trPr>
          <w:trHeight w:val="71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评标时间：</w:t>
            </w:r>
            <w:r>
              <w:rPr>
                <w:rFonts w:hint="eastAsia"/>
                <w:color w:val="000000" w:themeColor="text1"/>
                <w:sz w:val="24"/>
                <w:szCs w:val="20"/>
                <w14:textFill>
                  <w14:solidFill>
                    <w14:schemeClr w14:val="tx1"/>
                  </w14:solidFill>
                </w14:textFill>
              </w:rPr>
              <w:t xml:space="preserve">2025年</w:t>
            </w:r>
            <w:r>
              <w:rPr>
                <w:rFonts w:hint="eastAsia"/>
                <w:color w:val="000000" w:themeColor="text1"/>
                <w:sz w:val="24"/>
                <w:szCs w:val="20"/>
                <w:lang w:val="en-US" w:eastAsia="zh-CN"/>
                <w14:textFill>
                  <w14:solidFill>
                    <w14:schemeClr w14:val="tx1"/>
                  </w14:solidFill>
                </w14:textFill>
              </w:rPr>
              <w:t xml:space="preserve">12</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lang w:val="en-US" w:eastAsia="zh-CN"/>
                <w14:textFill>
                  <w14:solidFill>
                    <w14:schemeClr w14:val="tx1"/>
                  </w14:solidFill>
                </w14:textFill>
              </w:rPr>
              <w:t xml:space="preserve">15</w:t>
            </w:r>
            <w:r>
              <w:rPr>
                <w:rFonts w:hint="eastAsia"/>
                <w:color w:val="000000" w:themeColor="text1"/>
                <w:sz w:val="24"/>
                <w:szCs w:val="20"/>
                <w14:textFill>
                  <w14:solidFill>
                    <w14:schemeClr w14:val="tx1"/>
                  </w14:solidFill>
                </w14:textFill>
              </w:rPr>
              <w:t xml:space="preserve">日</w:t>
            </w:r>
            <w:r>
              <w:rPr>
                <w:color w:val="000000" w:themeColor="text1"/>
                <w:sz w:val="24"/>
                <w:szCs w:val="20"/>
                <w14:textFill>
                  <w14:solidFill>
                    <w14:schemeClr w14:val="tx1"/>
                  </w14:solidFill>
                </w14:textFill>
              </w:rPr>
              <w:t xml:space="preserve">13:30</w:t>
            </w:r>
            <w:r/>
          </w:p>
          <w:p>
            <w:pPr>
              <w:spacing w:after="0" w:line="240" w:lineRule="auto"/>
              <w:widowControl/>
              <w:rPr>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 xml:space="preserve">评标地点：苏采云平台</w:t>
            </w:r>
            <w:r/>
          </w:p>
        </w:tc>
      </w:tr>
      <w:tr>
        <w:trPr>
          <w:trHeight w:val="676"/>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确定中标单位时间：</w:t>
            </w:r>
            <w:r>
              <w:rPr>
                <w:rFonts w:hint="eastAsia"/>
                <w:color w:val="000000" w:themeColor="text1"/>
                <w:sz w:val="24"/>
                <w:szCs w:val="20"/>
                <w14:textFill>
                  <w14:solidFill>
                    <w14:schemeClr w14:val="tx1"/>
                  </w14:solidFill>
                </w14:textFill>
              </w:rPr>
              <w:t xml:space="preserve">2025年</w:t>
            </w:r>
            <w:r>
              <w:rPr>
                <w:rFonts w:hint="eastAsia"/>
                <w:color w:val="000000" w:themeColor="text1"/>
                <w:sz w:val="24"/>
                <w:szCs w:val="20"/>
                <w:lang w:val="en-US" w:eastAsia="zh-CN"/>
                <w14:textFill>
                  <w14:solidFill>
                    <w14:schemeClr w14:val="tx1"/>
                  </w14:solidFill>
                </w14:textFill>
              </w:rPr>
              <w:t xml:space="preserve">12</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lang w:val="en-US" w:eastAsia="zh-CN"/>
                <w14:textFill>
                  <w14:solidFill>
                    <w14:schemeClr w14:val="tx1"/>
                  </w14:solidFill>
                </w14:textFill>
              </w:rPr>
              <w:t xml:space="preserve">15</w:t>
            </w:r>
            <w:r>
              <w:rPr>
                <w:rFonts w:hint="eastAsia"/>
                <w:color w:val="000000" w:themeColor="text1"/>
                <w:sz w:val="24"/>
                <w:szCs w:val="20"/>
                <w14:textFill>
                  <w14:solidFill>
                    <w14:schemeClr w14:val="tx1"/>
                  </w14:solidFill>
                </w14:textFill>
              </w:rPr>
              <w:t xml:space="preserve">日</w:t>
            </w:r>
            <w:r>
              <w:rPr>
                <w:color w:val="000000" w:themeColor="text1"/>
                <w:sz w:val="24"/>
                <w:szCs w:val="20"/>
                <w14:textFill>
                  <w14:solidFill>
                    <w14:schemeClr w14:val="tx1"/>
                  </w14:solidFill>
                </w14:textFill>
              </w:rPr>
              <w:t xml:space="preserve">评审结束</w:t>
            </w:r>
            <w:r/>
          </w:p>
          <w:p>
            <w:pPr>
              <w:spacing w:after="0" w:line="240" w:lineRule="auto"/>
              <w:widowControl/>
              <w:rPr>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 xml:space="preserve">确定中标单位地点：苏采云平台</w:t>
            </w:r>
            <w:r/>
          </w:p>
        </w:tc>
      </w:tr>
      <w:tr>
        <w:trPr>
          <w:trHeight w:val="568"/>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1、采购代理机构：江苏省设备成套股份有限公司</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联系人：</w:t>
            </w:r>
            <w:r>
              <w:rPr>
                <w:rFonts w:hint="eastAsia"/>
                <w:color w:val="000000" w:themeColor="text1"/>
                <w:sz w:val="24"/>
                <w:szCs w:val="20"/>
                <w:lang w:val="en-US" w:eastAsia="zh-CN"/>
                <w14:textFill>
                  <w14:solidFill>
                    <w14:schemeClr w14:val="tx1"/>
                  </w14:solidFill>
                </w14:textFill>
              </w:rPr>
              <w:t xml:space="preserve">张杰、</w:t>
            </w:r>
            <w:r>
              <w:rPr>
                <w:color w:val="000000" w:themeColor="text1"/>
                <w:sz w:val="24"/>
                <w:szCs w:val="20"/>
                <w14:textFill>
                  <w14:solidFill>
                    <w14:schemeClr w14:val="tx1"/>
                  </w14:solidFill>
                </w14:textFill>
              </w:rPr>
              <w:t xml:space="preserve">路紫明</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联系电话：025-86633685、13701405790</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联系地址：无锡市梁溪区汇太路33号积高科技园315室</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2、采购人：无锡市检验检测认证研究院</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联系人：叶沁</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联系电话：</w:t>
            </w:r>
            <w:r>
              <w:rPr>
                <w:color w:val="000000"/>
                <w:sz w:val="24"/>
                <w:szCs w:val="20"/>
              </w:rPr>
              <w:t xml:space="preserve">0510-82803652</w:t>
            </w:r>
            <w:r/>
          </w:p>
          <w:p>
            <w:pPr>
              <w:spacing w:after="0" w:line="240" w:lineRule="auto"/>
              <w:widowControl/>
              <w:rPr>
                <w:color w:val="000000" w:themeColor="text1"/>
                <w:sz w:val="24"/>
                <w14:textFill>
                  <w14:solidFill>
                    <w14:schemeClr w14:val="tx1"/>
                  </w14:solidFill>
                </w14:textFill>
              </w:rPr>
            </w:pPr>
            <w:r>
              <w:rPr>
                <w:color w:val="000000" w:themeColor="text1"/>
                <w:sz w:val="24"/>
                <w:szCs w:val="20"/>
                <w14:textFill>
                  <w14:solidFill>
                    <w14:schemeClr w14:val="tx1"/>
                  </w14:solidFill>
                </w14:textFill>
              </w:rPr>
              <w:t xml:space="preserve">联系地址：无锡市锡山区东亭春新东路8号</w:t>
            </w:r>
            <w:r/>
          </w:p>
        </w:tc>
      </w:tr>
      <w:tr>
        <w:trPr>
          <w:trHeight w:val="10975"/>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注：（一）供应商注册</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1.请有意参加本项目采购活动的供应商按以下流程进行操作：</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（2）办理“意源”CA数字证书和“方正”电子签章（办理地址：无锡市滨湖区观山路199号12号楼二楼9号、10号窗口 咨询电话：0510-81827781），办理指南链接：http://jsxcmm.com/help/help.html。</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2.完成苏采云注册的供应商方可在苏采云中进行CA绑定。登录“江苏省政府采购（苏采云）平台”，插入CA后，点击【账号设置】——【绑定CA】。</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公共资源交易中心网站——资料下载（供应商）——“苏采云”系统供应商操作手册。</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技术服务电话：16651529117（服务时间：工作日 9:00-11:30,13:00-17:00）</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（二）获取采购文件，完成项目参与</w:t>
            </w:r>
            <w:r/>
          </w:p>
          <w:p>
            <w:pPr>
              <w:spacing w:after="0" w:line="240" w:lineRule="auto"/>
              <w:widowControl/>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1.供应商可在项目采购公告中查看采购需求，如确定参加本次采购活动，必须在采购公告提供期限内从苏采云平台中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after="0" w:line="240" w:lineRule="auto"/>
              <w:widowControl/>
              <w:rPr>
                <w:color w:val="000000" w:themeColor="text1"/>
                <w14:textFill>
                  <w14:solidFill>
                    <w14:schemeClr w14:val="tx1"/>
                  </w14:solidFill>
                </w14:textFill>
              </w:rPr>
            </w:pPr>
            <w:r>
              <w:rPr>
                <w:color w:val="000000" w:themeColor="text1"/>
                <w:sz w:val="24"/>
                <w:szCs w:val="20"/>
                <w14:textFill>
                  <w14:solidFill>
                    <w14:schemeClr w14:val="tx1"/>
                  </w14:solidFill>
                </w14:textFill>
              </w:rPr>
              <w:t xml:space="preserve">2.供应商通过苏采云平台提交数据电文形式的响应文件，通过苏采云平台进入“开标大厅”开启（解密）响应文件。推荐使用谷歌浏览器，参与苏采云平台不见面开标。</w:t>
            </w:r>
            <w:r>
              <w:rPr>
                <w:color w:val="000000" w:themeColor="text1"/>
                <w14:textFill>
                  <w14:solidFill>
                    <w14:schemeClr w14:val="tx1"/>
                  </w14:solidFill>
                </w14:textFill>
              </w:rPr>
              <w:t xml:space="preserve"> </w:t>
            </w:r>
            <w:r/>
          </w:p>
        </w:tc>
      </w:tr>
    </w:tbl>
    <w:p>
      <w:pPr>
        <w:pStyle w:val="936"/>
        <w:spacing w:line="360" w:lineRule="auto"/>
        <w:rPr>
          <w:color w:val="000000" w:themeColor="text1"/>
          <w:sz w:val="28"/>
          <w:szCs w:val="28"/>
          <w14:textFill>
            <w14:solidFill>
              <w14:schemeClr w14:val="tx1"/>
            </w14:solidFill>
          </w14:textFill>
        </w:rPr>
      </w:pPr>
      <w:r>
        <w:rPr>
          <w:b w:val="0"/>
          <w:bCs w:val="0"/>
          <w:color w:val="000000" w:themeColor="text1"/>
          <w14:textFill>
            <w14:solidFill>
              <w14:schemeClr w14:val="tx1"/>
            </w14:solidFill>
          </w14:textFill>
        </w:rPr>
        <w:br w:type="page" w:clear="all"/>
      </w:r>
      <w:bookmarkEnd w:id="3"/>
      <w:r>
        <w:rPr>
          <w:b w:val="0"/>
          <w:bCs w:val="0"/>
          <w:color w:val="000000" w:themeColor="text1"/>
          <w14:textFill>
            <w14:solidFill>
              <w14:schemeClr w14:val="tx1"/>
            </w14:solidFill>
          </w14:textFill>
        </w:rPr>
        <w:t xml:space="preserve"> </w:t>
      </w:r>
      <w:bookmarkStart w:id="6" w:name="_Toc177025986"/>
      <w:r/>
      <w:bookmarkStart w:id="7" w:name="_Toc452625218"/>
      <w:r>
        <w:rPr>
          <w:color w:val="000000" w:themeColor="text1"/>
          <w:sz w:val="28"/>
          <w:szCs w:val="28"/>
          <w14:textFill>
            <w14:solidFill>
              <w14:schemeClr w14:val="tx1"/>
            </w14:solidFill>
          </w14:textFill>
        </w:rPr>
        <w:t xml:space="preserve">投标人须知</w:t>
      </w:r>
      <w:bookmarkEnd w:id="6"/>
      <w:r/>
      <w:bookmarkEnd w:id="7"/>
      <w:r/>
      <w:r/>
    </w:p>
    <w:p>
      <w:pPr>
        <w:ind w:firstLine="424"/>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一、总 则</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1、参照法律</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 本次招标参照《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2、采购人、供应商、采购代理机构、投标人</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2.1采购人是指依法进行政府采购的国家机关、事业单位、团体组织。</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2.2供应商是指向采购人提供货物、工程或者服务的法人、其他组织或者自然人。</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2.4投标人，是指响应招标、参加投标竞争的法人、其他组织或者自然人。</w:t>
      </w:r>
      <w:r/>
    </w:p>
    <w:p>
      <w:pPr>
        <w:ind w:firstLine="420"/>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3、货物和服务定义</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3.1“货物和服务”指本招标文件中所述</w:t>
      </w:r>
      <w:r>
        <w:rPr>
          <w:bCs/>
          <w:color w:val="000000" w:themeColor="text1"/>
          <w:szCs w:val="21"/>
          <w14:textFill>
            <w14:solidFill>
              <w14:schemeClr w14:val="tx1"/>
            </w14:solidFill>
          </w14:textFill>
        </w:rPr>
        <w:t xml:space="preserve">产品</w:t>
      </w:r>
      <w:r>
        <w:rPr>
          <w:color w:val="000000" w:themeColor="text1"/>
          <w:szCs w:val="21"/>
          <w14:textFill>
            <w14:solidFill>
              <w14:schemeClr w14:val="tx1"/>
            </w14:solidFill>
          </w14:textFill>
        </w:rPr>
        <w:t xml:space="preserve">及相关服务。</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4、政策功能</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rPr>
          <w:color w:val="000000" w:themeColor="text1"/>
          <w:szCs w:val="21"/>
          <w14:textFill>
            <w14:solidFill>
              <w14:schemeClr w14:val="tx1"/>
            </w14:solidFill>
          </w14:textFill>
        </w:rPr>
        <w:t xml:space="preserve">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认证机构详见市场监管总局发布的《参与实施政府采购节能产品认证机构名录》和《参与实施政府采购环境标志产品认证机构名录》。</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4.5 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4.6进口产品政策</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（2）允许进口产品参加的，满足需求的国内产品可以参加。</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4.7未按要求提供相关材料的，不享受相关政策。</w:t>
      </w:r>
      <w:r/>
    </w:p>
    <w:p>
      <w:pPr>
        <w:ind w:firstLine="424"/>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二、招标文件构成</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5、招标文件组成</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5.1 招标文件包括以下主要内容：投标邀请；投标人须知（包括投标文件的密封、签署、盖章要求等）；投标人应当提交的资格、资信证明文件；为落实政府采购政策，采购标的需满足</w:t>
      </w:r>
      <w:r>
        <w:rPr>
          <w:color w:val="000000" w:themeColor="text1"/>
          <w:szCs w:val="21"/>
          <w14:textFill>
            <w14:solidFill>
              <w14:schemeClr w14:val="tx1"/>
            </w14:solidFill>
          </w14:textFill>
        </w:rPr>
        <w:t xml:space="preserve">的要求，以及投标人须提供的证明材料；投标文件编制要求、投标报价要求；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5.2 招标的最小单位是包。招标货物数量及技术要求中未分包的，投标人对要求提供的货物和服务不得部分投标；招标货物数量及技术要求中已经分包的，可以以包为单位投标。</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5.3 代理机构如果要求投标人按照招标文件规定提交</w:t>
      </w:r>
      <w:bookmarkStart w:id="8" w:name="_Hlk176271128"/>
      <w:r>
        <w:rPr>
          <w:color w:val="000000" w:themeColor="text1"/>
          <w:szCs w:val="21"/>
          <w14:textFill>
            <w14:solidFill>
              <w14:schemeClr w14:val="tx1"/>
            </w14:solidFill>
          </w14:textFill>
        </w:rPr>
        <w:t xml:space="preserve">备选</w:t>
      </w:r>
      <w:bookmarkEnd w:id="8"/>
      <w:r>
        <w:rPr>
          <w:color w:val="000000" w:themeColor="text1"/>
          <w:szCs w:val="21"/>
          <w14:textFill>
            <w14:solidFill>
              <w14:schemeClr w14:val="tx1"/>
            </w14:solidFill>
          </w14:textFill>
        </w:rPr>
        <w:t xml:space="preserve">投标方案的，投标人可以提交备选方案；否则，备选方案将被拒绝。</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6、招标文件的澄清或者修改</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采购人或者采购代理机构可以对已发出的招标文件进行必要的澄清或者修改。澄清或者修改将在原公告发布媒体上发布澄清公告。澄清或者修改的内容为招标文件的组成部分。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三、投标文件的编制</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7、投标文件的语言、计量单位、货币和编制</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7.2 投标人所使用的计量单位应为国家法定计量单位。</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7.3 投标人应用人民币报价。投标产品如果是进口产品的，应提供人民币与</w:t>
      </w:r>
      <w:r>
        <w:rPr>
          <w:b/>
          <w:bCs/>
          <w:color w:val="000000" w:themeColor="text1"/>
          <w:szCs w:val="21"/>
          <w14:textFill>
            <w14:solidFill>
              <w14:schemeClr w14:val="tx1"/>
            </w14:solidFill>
          </w14:textFill>
        </w:rPr>
        <w:t xml:space="preserve">外币之间的汇率；报价单位为“元”。</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7.4 投标文件应字迹清楚、内容齐全、不得涂改。如有修改，修改处须有投标人公章或投标专用章和法定代表人或其授权的投标人代表签字。</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7.5 投标文件应按照招标文件规定的顺序编制，由于编排混乱导致投标文件被误读或查找不到，责任由投标人承担。</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7.6 投标人应在投标文件中写清相应的项目编号、项目名称、投标人全称、地址、电话、传真等。</w:t>
      </w:r>
      <w:r/>
    </w:p>
    <w:p>
      <w:pPr>
        <w:ind w:firstLine="412"/>
        <w:spacing w:line="360" w:lineRule="auto"/>
        <w:shd w:val="clear" w:color="auto" w:fill="ffffff"/>
        <w:widowControl/>
        <w:rPr>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7.7</w:t>
      </w:r>
      <w:r>
        <w:rPr>
          <w:color w:val="000000" w:themeColor="text1"/>
          <w:szCs w:val="21"/>
          <w14:textFill>
            <w14:solidFill>
              <w14:schemeClr w14:val="tx1"/>
            </w14:solidFill>
          </w14:textFill>
        </w:rPr>
        <w:t xml:space="preserve"> 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8、投标文件的组成、编制和递交</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8.1 供应商从苏采云平台中下载文件（“项目参与”找到需要获取征集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8.2投标的有效期为开标后60天。</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8.3投标费用自理。</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8.4 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8.5 投标文件由商务部分、技术部分、价格部分以及其他部分组成。</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8.6本项目不接受纸质投标文件</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9、投标文件的商务部分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9.1 商务部分是证明投标人有资格参加投标和中标后有能力履行合同的文件，这些文件应能满足招标的要求，包括但不限于下列文件：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（1）投标函（投标申请及声明）</w:t>
      </w:r>
      <w:r>
        <w:rPr>
          <w:bCs/>
          <w:color w:val="000000" w:themeColor="text1"/>
          <w:szCs w:val="21"/>
          <w14:textFill>
            <w14:solidFill>
              <w14:schemeClr w14:val="tx1"/>
            </w14:solidFill>
          </w14:textFill>
        </w:rPr>
        <w:t xml:space="preserve">（</w:t>
      </w:r>
      <w:r>
        <w:rPr>
          <w:b/>
          <w:bCs/>
          <w:color w:val="000000" w:themeColor="text1"/>
          <w:szCs w:val="21"/>
          <w14:textFill>
            <w14:solidFill>
              <w14:schemeClr w14:val="tx1"/>
            </w14:solidFill>
          </w14:textFill>
        </w:rPr>
        <w:t xml:space="preserve">格式见附件</w:t>
      </w:r>
      <w:r>
        <w:rPr>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（2）法定代表人授权委托书及委托代理人的身份证明文件的扫描件</w:t>
      </w:r>
      <w:r>
        <w:rPr>
          <w:bCs/>
          <w:color w:val="000000" w:themeColor="text1"/>
          <w:szCs w:val="21"/>
          <w14:textFill>
            <w14:solidFill>
              <w14:schemeClr w14:val="tx1"/>
            </w14:solidFill>
          </w14:textFill>
        </w:rPr>
        <w:t xml:space="preserve">（</w:t>
      </w:r>
      <w:r>
        <w:rPr>
          <w:b/>
          <w:bCs/>
          <w:color w:val="000000" w:themeColor="text1"/>
          <w:szCs w:val="21"/>
          <w14:textFill>
            <w14:solidFill>
              <w14:schemeClr w14:val="tx1"/>
            </w14:solidFill>
          </w14:textFill>
        </w:rPr>
        <w:t xml:space="preserve">格式见附件</w:t>
      </w:r>
      <w:r>
        <w:rPr>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投标人法定代表人委托代理人身份证复印件、委托代理人与企业签订的劳动合同，由法定的社保收缴部门出具的2025年</w:t>
      </w:r>
      <w:r>
        <w:rPr>
          <w:rFonts w:hint="eastAsia"/>
          <w:color w:val="000000" w:themeColor="text1"/>
          <w:szCs w:val="21"/>
          <w14:textFill>
            <w14:solidFill>
              <w14:schemeClr w14:val="tx1"/>
            </w14:solidFill>
          </w14:textFill>
        </w:rPr>
        <w:t xml:space="preserve">5</w:t>
      </w:r>
      <w:r>
        <w:rPr>
          <w:color w:val="000000" w:themeColor="text1"/>
          <w:szCs w:val="21"/>
          <w14:textFill>
            <w14:solidFill>
              <w14:schemeClr w14:val="tx1"/>
            </w14:solidFill>
          </w14:textFill>
        </w:rPr>
        <w:t xml:space="preserve">月-2025年</w:t>
      </w:r>
      <w:r>
        <w:rPr>
          <w:rFonts w:hint="eastAsia"/>
          <w:color w:val="000000" w:themeColor="text1"/>
          <w:szCs w:val="21"/>
          <w14:textFill>
            <w14:solidFill>
              <w14:schemeClr w14:val="tx1"/>
            </w14:solidFill>
          </w14:textFill>
        </w:rPr>
        <w:t xml:space="preserve">10</w:t>
      </w:r>
      <w:r>
        <w:rPr>
          <w:color w:val="000000" w:themeColor="text1"/>
          <w:szCs w:val="21"/>
          <w14:textFill>
            <w14:solidFill>
              <w14:schemeClr w14:val="tx1"/>
            </w14:solidFill>
          </w14:textFill>
        </w:rPr>
        <w:t xml:space="preserve">月的投标供应商为其依法缴纳社会保障资金的相关材料（提供相关主管部门证明或银行代扣证明），供应商成立年限不足的，提供自成立至2025年</w:t>
      </w:r>
      <w:r>
        <w:rPr>
          <w:rFonts w:hint="eastAsia"/>
          <w:color w:val="000000" w:themeColor="text1"/>
          <w:szCs w:val="21"/>
          <w14:textFill>
            <w14:solidFill>
              <w14:schemeClr w14:val="tx1"/>
            </w14:solidFill>
          </w14:textFill>
        </w:rPr>
        <w:t xml:space="preserve">10</w:t>
      </w:r>
      <w:r>
        <w:rPr>
          <w:color w:val="000000" w:themeColor="text1"/>
          <w:szCs w:val="21"/>
          <w14:textFill>
            <w14:solidFill>
              <w14:schemeClr w14:val="tx1"/>
            </w14:solidFill>
          </w14:textFill>
        </w:rPr>
        <w:t xml:space="preserve">月的证明材料。（法定代表人亲自参加投标的除外）</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（3）开标一览表</w:t>
      </w:r>
      <w:r>
        <w:rPr>
          <w:bCs/>
          <w:color w:val="000000" w:themeColor="text1"/>
          <w:szCs w:val="21"/>
          <w14:textFill>
            <w14:solidFill>
              <w14:schemeClr w14:val="tx1"/>
            </w14:solidFill>
          </w14:textFill>
        </w:rPr>
        <w:t xml:space="preserve">（</w:t>
      </w:r>
      <w:r>
        <w:rPr>
          <w:b/>
          <w:bCs/>
          <w:color w:val="000000" w:themeColor="text1"/>
          <w:szCs w:val="21"/>
          <w14:textFill>
            <w14:solidFill>
              <w14:schemeClr w14:val="tx1"/>
            </w14:solidFill>
          </w14:textFill>
        </w:rPr>
        <w:t xml:space="preserve">格式见附件</w:t>
      </w:r>
      <w:r>
        <w:rPr>
          <w:bCs/>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（4）分项报价表</w:t>
      </w:r>
      <w:r>
        <w:rPr>
          <w:bCs/>
          <w:color w:val="000000" w:themeColor="text1"/>
          <w:szCs w:val="21"/>
          <w14:textFill>
            <w14:solidFill>
              <w14:schemeClr w14:val="tx1"/>
            </w14:solidFill>
          </w14:textFill>
        </w:rPr>
        <w:t xml:space="preserve">（</w:t>
      </w:r>
      <w:r>
        <w:rPr>
          <w:b/>
          <w:bCs/>
          <w:color w:val="000000" w:themeColor="text1"/>
          <w:szCs w:val="21"/>
          <w14:textFill>
            <w14:solidFill>
              <w14:schemeClr w14:val="tx1"/>
            </w14:solidFill>
          </w14:textFill>
        </w:rPr>
        <w:t xml:space="preserve">格式见附件</w:t>
      </w:r>
      <w:r>
        <w:rPr>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（5）投标人资格资信证明文件：</w:t>
      </w:r>
      <w:r/>
    </w:p>
    <w:p>
      <w:pPr>
        <w:numPr>
          <w:ilvl w:val="1"/>
          <w:numId w:val="3"/>
        </w:numPr>
        <w:ind w:left="0" w:firstLine="630"/>
        <w:spacing w:line="360" w:lineRule="auto"/>
        <w:tabs>
          <w:tab w:val="clear" w:pos="928" w:leader="none"/>
          <w:tab w:val="left" w:pos="945" w:leader="none"/>
          <w:tab w:val="left" w:pos="1276" w:leader="none"/>
          <w:tab w:val="left" w:pos="5322"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具有独立承担民事责任的能力（提供法人或者其他组织的营业执照；供应商为自然人的，提供其身份证）；</w:t>
      </w:r>
      <w:r/>
    </w:p>
    <w:p>
      <w:pPr>
        <w:numPr>
          <w:ilvl w:val="1"/>
          <w:numId w:val="3"/>
        </w:numPr>
        <w:ind w:left="0" w:firstLine="630"/>
        <w:spacing w:line="360" w:lineRule="auto"/>
        <w:tabs>
          <w:tab w:val="clear" w:pos="928" w:leader="none"/>
          <w:tab w:val="left" w:pos="945" w:leader="none"/>
          <w:tab w:val="left" w:pos="1276" w:leader="none"/>
          <w:tab w:val="left" w:pos="5322"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具有良好的商业信誉和健全的财务会计制度（提供2024年财务报表（公司成立不满一年，至少提供投标截止时间前近一个月</w:t>
      </w:r>
      <w:r>
        <w:rPr>
          <w:color w:val="000000" w:themeColor="text1"/>
          <w:szCs w:val="21"/>
          <w:lang w:val="zh-CN"/>
          <w14:textFill>
            <w14:solidFill>
              <w14:schemeClr w14:val="tx1"/>
            </w14:solidFill>
          </w14:textFill>
        </w:rPr>
        <w:t xml:space="preserve">的</w:t>
      </w:r>
      <w:r>
        <w:rPr>
          <w:bCs/>
          <w:color w:val="000000" w:themeColor="text1"/>
          <w:szCs w:val="21"/>
          <w14:textFill>
            <w14:solidFill>
              <w14:schemeClr w14:val="tx1"/>
            </w14:solidFill>
          </w14:textFill>
        </w:rPr>
        <w:t xml:space="preserve">财务报表），或投标截止时间前六个月内银行出具的资信证明）；</w:t>
      </w:r>
      <w:r/>
    </w:p>
    <w:p>
      <w:pPr>
        <w:numPr>
          <w:ilvl w:val="1"/>
          <w:numId w:val="3"/>
        </w:numPr>
        <w:ind w:left="0" w:firstLine="630"/>
        <w:spacing w:line="360" w:lineRule="auto"/>
        <w:tabs>
          <w:tab w:val="clear" w:pos="928" w:leader="none"/>
          <w:tab w:val="left" w:pos="945" w:leader="none"/>
          <w:tab w:val="left" w:pos="1276" w:leader="none"/>
          <w:tab w:val="left" w:pos="5322"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具有履行合同所必需的设备和专业技术能力（供应商根据履行采购项目合同需要，提供履行合同所必需的设备和专业技术能力的证明材料）；</w:t>
      </w:r>
      <w:r/>
    </w:p>
    <w:p>
      <w:pPr>
        <w:numPr>
          <w:ilvl w:val="1"/>
          <w:numId w:val="3"/>
        </w:numPr>
        <w:ind w:left="0" w:firstLine="630"/>
        <w:spacing w:line="360" w:lineRule="auto"/>
        <w:tabs>
          <w:tab w:val="clear" w:pos="928" w:leader="none"/>
          <w:tab w:val="left" w:pos="945" w:leader="none"/>
          <w:tab w:val="left" w:pos="1276" w:leader="none"/>
          <w:tab w:val="left" w:pos="5322" w:leader="none"/>
        </w:tabs>
        <w:rPr>
          <w:bCs/>
          <w:color w:val="000000" w:themeColor="text1"/>
          <w:szCs w:val="21"/>
          <w14:textFill>
            <w14:solidFill>
              <w14:schemeClr w14:val="tx1"/>
            </w14:solidFill>
          </w14:textFill>
        </w:rPr>
      </w:pPr>
      <w:r/>
      <w:bookmarkStart w:id="9" w:name="_Hlk54797454"/>
      <w:r>
        <w:rPr>
          <w:bCs/>
          <w:color w:val="000000" w:themeColor="text1"/>
          <w:szCs w:val="21"/>
          <w14:textFill>
            <w14:solidFill>
              <w14:schemeClr w14:val="tx1"/>
            </w14:solidFill>
          </w14:textFill>
        </w:rPr>
        <w:t xml:space="preserve">有依法缴纳税收和社会保障资金的良好记录（提供参加本次政府采购活动前半年内至少一个月：①提供缴纳税收的凭证；②提供缴纳社会保险的凭据，依法享受免缴、缓缴的，提供证明材料；</w:t>
      </w:r>
      <w:bookmarkEnd w:id="9"/>
      <w:r/>
      <w:r/>
    </w:p>
    <w:p>
      <w:pPr>
        <w:numPr>
          <w:ilvl w:val="1"/>
          <w:numId w:val="3"/>
        </w:numPr>
        <w:ind w:left="0" w:firstLine="630"/>
        <w:spacing w:line="360" w:lineRule="auto"/>
        <w:tabs>
          <w:tab w:val="clear" w:pos="928" w:leader="none"/>
          <w:tab w:val="left" w:pos="945" w:leader="none"/>
          <w:tab w:val="left" w:pos="1276" w:leader="none"/>
          <w:tab w:val="left" w:pos="5322"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无重大违法记录声明（</w:t>
      </w:r>
      <w:r>
        <w:rPr>
          <w:b/>
          <w:bCs/>
          <w:color w:val="000000" w:themeColor="text1"/>
          <w:szCs w:val="21"/>
          <w14:textFill>
            <w14:solidFill>
              <w14:schemeClr w14:val="tx1"/>
            </w14:solidFill>
          </w14:textFill>
        </w:rPr>
        <w:t xml:space="preserve">格式见附件</w:t>
      </w:r>
      <w:r>
        <w:rPr>
          <w:bCs/>
          <w:color w:val="000000" w:themeColor="text1"/>
          <w:szCs w:val="21"/>
          <w14:textFill>
            <w14:solidFill>
              <w14:schemeClr w14:val="tx1"/>
            </w14:solidFill>
          </w14:textFill>
        </w:rPr>
        <w:t xml:space="preserve">）；</w:t>
      </w:r>
      <w:r/>
    </w:p>
    <w:p>
      <w:pPr>
        <w:ind w:firstLine="420"/>
        <w:spacing w:line="360" w:lineRule="auto"/>
        <w:shd w:val="clear" w:color="auto" w:fill="ffffff"/>
        <w:widowControl/>
        <w:tabs>
          <w:tab w:val="left" w:pos="945" w:leader="none"/>
          <w:tab w:val="left" w:pos="1276"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（6）《商务条款偏离表》；</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（7）投标人拟投入本项目的设备、人员情况一览表；</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（8）评分标准中对应的其他所需承诺或证明材料（如有自行添加）；</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（9）要求采购人提供的配合（如有自拟并自行添加）；</w:t>
      </w:r>
      <w:r/>
    </w:p>
    <w:p>
      <w:pPr>
        <w:ind w:firstLine="411"/>
        <w:jc w:val="left"/>
        <w:spacing w:line="360" w:lineRule="auto"/>
        <w:shd w:val="clear" w:color="auto" w:fill="ffffff"/>
        <w:widowControl/>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（10）其他（投标人认为有必要提供的声明和文件，如有，自拟并自行添加）。</w:t>
      </w:r>
      <w:r/>
    </w:p>
    <w:p>
      <w:pPr>
        <w:ind w:firstLine="413"/>
        <w:jc w:val="left"/>
        <w:spacing w:line="360" w:lineRule="auto"/>
        <w:shd w:val="clear" w:color="auto" w:fill="ffffff"/>
        <w:widowControl/>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上述资格资信证明文件必须全部提供且全部满足招标文件的要求。如上述资格证明文件若遇年检、换证等未能提供的情况，则必须提供法定年检、换证单位出具的有效证明。如上述资格证明文件遇有国家相关政策规定可不具备的，必须提供相关政策规定或相关单位出具的有效证明。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13"/>
        <w:jc w:val="left"/>
        <w:spacing w:line="360" w:lineRule="auto"/>
        <w:shd w:val="clear" w:color="auto" w:fill="ffffff"/>
        <w:widowControl/>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投标人所提交的资格资信证明文件的完整与否，将直接影响其投标文件的审核结果。</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10、投标文件的技术部分</w:t>
      </w:r>
      <w:r/>
    </w:p>
    <w:p>
      <w:pPr>
        <w:ind w:firstLine="420"/>
        <w:jc w:val="left"/>
        <w:spacing w:line="360" w:lineRule="auto"/>
        <w:widowControl/>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技术部分是证明</w:t>
      </w:r>
      <w:r>
        <w:rPr>
          <w:color w:val="000000" w:themeColor="text1"/>
          <w:szCs w:val="21"/>
          <w14:textFill>
            <w14:solidFill>
              <w14:schemeClr w14:val="tx1"/>
            </w14:solidFill>
          </w14:textFill>
        </w:rPr>
        <w:t xml:space="preserve">供应商提供的服务是合格的、并符合招标文件要求的证明文件，以及</w:t>
      </w:r>
      <w:r>
        <w:rPr>
          <w:color w:val="000000" w:themeColor="text1"/>
          <w:szCs w:val="21"/>
          <w:lang w:val="zh-CN"/>
          <w14:textFill>
            <w14:solidFill>
              <w14:schemeClr w14:val="tx1"/>
            </w14:solidFill>
          </w14:textFill>
        </w:rPr>
        <w:t xml:space="preserve">对服务的详细说明，这些文件可以是文字资料、图纸和数据等。提供的服务如与招标文件要求有不符之处，应说明其差别之所在。包括但不限于下列文件：</w:t>
      </w:r>
      <w:r/>
    </w:p>
    <w:p>
      <w:pPr>
        <w:ind w:firstLine="420"/>
        <w:jc w:val="left"/>
        <w:spacing w:line="360" w:lineRule="auto"/>
        <w:widowControl/>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（1）实施方案；</w:t>
      </w:r>
      <w:r/>
    </w:p>
    <w:p>
      <w:pPr>
        <w:ind w:firstLine="420"/>
        <w:jc w:val="left"/>
        <w:spacing w:line="360" w:lineRule="auto"/>
        <w:widowControl/>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（2）《技术条款偏离表》；</w:t>
      </w:r>
      <w:r/>
    </w:p>
    <w:p>
      <w:pPr>
        <w:ind w:firstLine="420"/>
        <w:jc w:val="left"/>
        <w:spacing w:line="360" w:lineRule="auto"/>
        <w:widowControl/>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（3）售后服务；</w:t>
      </w:r>
      <w:r/>
    </w:p>
    <w:p>
      <w:pPr>
        <w:ind w:firstLine="420"/>
        <w:jc w:val="left"/>
        <w:spacing w:line="360" w:lineRule="auto"/>
        <w:widowControl/>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（4）供应商认为需要提供的其他技术资料。</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11、投标文件的价格部分</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11.2报价应包含本次招标项目有关的所有费用</w:t>
      </w:r>
      <w:r>
        <w:rPr>
          <w:color w:val="000000" w:themeColor="text1"/>
          <w:szCs w:val="21"/>
          <w:lang w:val="zh-CN"/>
          <w14:textFill>
            <w14:solidFill>
              <w14:schemeClr w14:val="tx1"/>
            </w14:solidFill>
          </w14:textFill>
        </w:rPr>
        <w:t xml:space="preserve">，以及技术资料、支付给员工的工资和国家强制缴纳的各种社会保障资金</w:t>
      </w:r>
      <w:r>
        <w:rPr>
          <w:bCs/>
          <w:color w:val="000000" w:themeColor="text1"/>
          <w:szCs w:val="21"/>
          <w14:textFill>
            <w14:solidFill>
              <w14:schemeClr w14:val="tx1"/>
            </w14:solidFill>
          </w14:textFill>
        </w:rPr>
        <w:t xml:space="preserve">，以</w:t>
      </w:r>
      <w:r>
        <w:rPr>
          <w:color w:val="000000" w:themeColor="text1"/>
          <w:szCs w:val="21"/>
          <w14:textFill>
            <w14:solidFill>
              <w14:schemeClr w14:val="tx1"/>
            </w14:solidFill>
          </w14:textFill>
        </w:rPr>
        <w:t xml:space="preserve">及投标人认为需要的其他费用等</w:t>
      </w:r>
      <w:r>
        <w:rPr>
          <w:b/>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11.3投标人的任何错漏、优惠、竞争性报价不得作为减轻责任、减少服务、增加收费、降低质量的理由。</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11.4 投标人应在《开标一览表》、《投标分项报价》等标明投标货物和服务的单价、总价以及分项报价。</w:t>
      </w:r>
      <w:r>
        <w:rPr>
          <w:color w:val="000000" w:themeColor="text1"/>
          <w14:textFill>
            <w14:solidFill>
              <w14:schemeClr w14:val="tx1"/>
            </w14:solidFill>
          </w14:textFill>
        </w:rPr>
        <w:t xml:space="preserve">投标人符合本须知3.1条所述情形的，须在《开标一览表》、《分项报价》中注明</w:t>
      </w:r>
      <w:r>
        <w:rPr>
          <w:color w:val="000000" w:themeColor="text1"/>
          <w:szCs w:val="21"/>
          <w14:textFill>
            <w14:solidFill>
              <w14:schemeClr w14:val="tx1"/>
            </w14:solidFill>
          </w14:textFill>
        </w:rPr>
        <w:t xml:space="preserve">。</w:t>
      </w:r>
      <w:r/>
    </w:p>
    <w:p>
      <w:pPr>
        <w:ind w:firstLine="420"/>
        <w:spacing w:line="360" w:lineRule="auto"/>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11.5本项目预算为：详见第一章</w:t>
      </w:r>
      <w:r>
        <w:rPr>
          <w:bCs/>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12、投标文件的其他部分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12.1 其他部分由投标人根据编制投标文件需要提供的其他相关文件。</w:t>
      </w:r>
      <w:r/>
    </w:p>
    <w:p>
      <w:pPr>
        <w:ind w:firstLine="420"/>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13、投标保证金</w:t>
      </w:r>
      <w:bookmarkStart w:id="10" w:name="_Hlk52107577"/>
      <w:r>
        <w:rPr>
          <w:b/>
          <w:bCs/>
          <w:color w:val="000000" w:themeColor="text1"/>
          <w:szCs w:val="21"/>
          <w14:textFill>
            <w14:solidFill>
              <w14:schemeClr w14:val="tx1"/>
            </w14:solidFill>
          </w14:textFill>
        </w:rPr>
        <w:t xml:space="preserve">（本项目不涉及）</w:t>
      </w:r>
      <w:bookmarkEnd w:id="10"/>
      <w:r/>
      <w:r/>
    </w:p>
    <w:p>
      <w:pPr>
        <w:ind w:firstLine="420"/>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14、投标有效期</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14.1 自开标之日起</w:t>
      </w:r>
      <w:r>
        <w:rPr>
          <w:b/>
          <w:color w:val="000000" w:themeColor="text1"/>
          <w:szCs w:val="21"/>
          <w14:textFill>
            <w14:solidFill>
              <w14:schemeClr w14:val="tx1"/>
            </w14:solidFill>
          </w14:textFill>
        </w:rPr>
        <w:t xml:space="preserve">60</w:t>
      </w:r>
      <w:r>
        <w:rPr>
          <w:color w:val="000000" w:themeColor="text1"/>
          <w:szCs w:val="21"/>
          <w14:textFill>
            <w14:solidFill>
              <w14:schemeClr w14:val="tx1"/>
            </w14:solidFill>
          </w14:textFill>
        </w:rPr>
        <w:t xml:space="preserve">天内投标有效。</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14.2 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15、投标文件签署</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15.1 投标文件由投标人法人代表或经正式授权并对投标人有约束力的委托代理人签字。</w:t>
      </w:r>
      <w:r/>
    </w:p>
    <w:p>
      <w:pPr>
        <w:ind w:firstLine="420"/>
        <w:spacing w:line="360" w:lineRule="auto"/>
        <w:shd w:val="clear" w:color="auto" w:fill="ffffff"/>
        <w:widowControl/>
        <w:tabs>
          <w:tab w:val="center" w:pos="5018"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16、投标费用</w:t>
      </w:r>
      <w:r>
        <w:rPr>
          <w:b/>
          <w:bCs/>
          <w:color w:val="000000" w:themeColor="text1"/>
          <w:szCs w:val="21"/>
          <w14:textFill>
            <w14:solidFill>
              <w14:schemeClr w14:val="tx1"/>
            </w14:solidFill>
          </w14:textFill>
        </w:rPr>
        <w:tab/>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16.1 投标人应承担所有与准备和参加投标有关的费用，无论采购结果如何，代理机构和采购人在任何情况下均无义务和责任承担这些费用。</w:t>
      </w:r>
      <w:r/>
    </w:p>
    <w:p>
      <w:pPr>
        <w:ind w:firstLine="420"/>
        <w:spacing w:line="360" w:lineRule="auto"/>
        <w:shd w:val="clear" w:color="auto" w:fill="ffffff"/>
        <w:widowControl/>
        <w:rPr>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16.2 招标代理服务费：</w:t>
      </w:r>
      <w:r>
        <w:rPr>
          <w:bCs/>
          <w:color w:val="000000" w:themeColor="text1"/>
          <w:szCs w:val="21"/>
          <w14:textFill>
            <w14:solidFill>
              <w14:schemeClr w14:val="tx1"/>
            </w14:solidFill>
          </w14:textFill>
        </w:rPr>
        <w:t xml:space="preserve">本次招标，中标人以成交金额为计费基础，按差额定率累进法计算，代理服务费费率：100万元以下为1.5%，100万元-500万元为1.1%。各投标供应商应将招标代理服务费自行考虑包含在投标报价中，本项费用无需在投标报价表中单列。</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四、投标文件的修改和撤回</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17.1投标人在投标截止时间前，可以对所递交的投标文件进行补充、修改或者撤回。</w:t>
      </w:r>
      <w:r>
        <w:rPr>
          <w:color w:val="000000" w:themeColor="text1"/>
          <w14:textFill>
            <w14:solidFill>
              <w14:schemeClr w14:val="tx1"/>
            </w14:solidFill>
          </w14:textFill>
        </w:rPr>
        <w:t xml:space="preserve">投标文件以投标截止时间前完成递交至“苏采云平台”最后一份投标文件为准</w:t>
      </w:r>
      <w:r>
        <w:rPr>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17.2 投标截止时间之后，投标文件不得撤回。</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18、诚实信用</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五、开标、评标与定标</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19、开标</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19.1 代理机构将在招标文件确定的时间和地点进行公开开标。投标人应委派代表准时参加线上开标会。本项目采用远程不见面交易模式。通过不见面交易系统及相应的配套硬件设备（摄像头、话筒、麦克风等）完成远程解密、开标现场异议及回复、开标唱标等交互环节。相关要求和说明如下：</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①远程开标项目的时间均以国家授时中心发布的时间为准；</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②开标当日，投标人不必抵达开标现场；</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19.2投标人不足3家的，不得开标。</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19.3投标人未参加开标的，视同认可开标结果。</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19.4投标文件报价出现前后不一致的，除招标文件另有规定外，按照下列规定修正：</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19.4.1 投标文件中开标一览表（报价表）内容与投标文件中相应内容不一致的，以开标一览表（报价表）为准；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19.4.2 大写金额和小写金额不一致的，以大写金额为准；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19.4.3单价金额小数点或者百分比有明显错位的，以开标一览表的总价为准，并修改单价；</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19.4.4 总价金额与按单价汇总金额不一致的，以单价金额计算结果为准。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同时出现两种以上不一致的，按照前款规定的顺序修正。修正后的报价按照本办法第五十一条第二款的规定经投标人确认后产生约束力，投标人不确认的，其投标无效。</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19.5 投标截止后投标人不足3家或者通过资格审查或符合性审查的投标人不足3家的，除采购任务取消情形外，在招标文件没有不合理条款、招标程序符合规定的前提下，采购人报相关部门批准后，可采用其他采购方式。本次招标文件中对供应商资格条件要求、技术要求和商务等要求，将作为其他采购方式的基本要求和谈判依据。</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20、评标</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20.1 评标组织</w:t>
      </w:r>
      <w:r/>
    </w:p>
    <w:p>
      <w:pPr>
        <w:ind w:firstLine="420"/>
        <w:spacing w:line="360" w:lineRule="auto"/>
        <w:shd w:val="clear" w:color="auto" w:fill="ffffff"/>
        <w:widowControl/>
        <w:rPr>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20.1.1</w:t>
      </w:r>
      <w:r>
        <w:rPr>
          <w:bCs/>
          <w:color w:val="000000" w:themeColor="text1"/>
          <w:szCs w:val="21"/>
          <w14:textFill>
            <w14:solidFill>
              <w14:schemeClr w14:val="tx1"/>
            </w14:solidFill>
          </w14:textFill>
        </w:rPr>
        <w:t xml:space="preserve">评标委员会负责具体评标事务，并独立履行下列职责：</w:t>
      </w:r>
      <w:r/>
    </w:p>
    <w:p>
      <w:pPr>
        <w:ind w:firstLine="420"/>
        <w:spacing w:line="360" w:lineRule="auto"/>
        <w:shd w:val="clear" w:color="auto" w:fill="ffffff"/>
        <w:widowControl/>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（一）审查、评价投标文件是否符合招标文件的商务、技术等实质性要求；</w:t>
      </w:r>
      <w:r/>
    </w:p>
    <w:p>
      <w:pPr>
        <w:ind w:firstLine="420"/>
        <w:spacing w:line="360" w:lineRule="auto"/>
        <w:shd w:val="clear" w:color="auto" w:fill="ffffff"/>
        <w:widowControl/>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（二）要求投标人对投标文件有关事项作出澄清或者说明；</w:t>
      </w:r>
      <w:r/>
    </w:p>
    <w:p>
      <w:pPr>
        <w:ind w:firstLine="420"/>
        <w:spacing w:line="360" w:lineRule="auto"/>
        <w:shd w:val="clear" w:color="auto" w:fill="ffffff"/>
        <w:widowControl/>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（三）对投标文件进行比较和评价；</w:t>
      </w:r>
      <w:r/>
    </w:p>
    <w:p>
      <w:pPr>
        <w:ind w:firstLine="420"/>
        <w:spacing w:line="360" w:lineRule="auto"/>
        <w:shd w:val="clear" w:color="auto" w:fill="ffffff"/>
        <w:widowControl/>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（四）确定中标候选人名单，以及根据采购人委托直接确定中标人；</w:t>
      </w:r>
      <w:r/>
    </w:p>
    <w:p>
      <w:pPr>
        <w:ind w:firstLine="420"/>
        <w:spacing w:line="360" w:lineRule="auto"/>
        <w:shd w:val="clear" w:color="auto" w:fill="ffffff"/>
        <w:widowControl/>
        <w:rPr>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（五）向采购人、采购代理机构或者有关部门报告评标中发现的违法行为。</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20.1.2 </w:t>
      </w:r>
      <w:r>
        <w:rPr>
          <w:color w:val="000000" w:themeColor="text1"/>
          <w:szCs w:val="21"/>
          <w14:textFill>
            <w14:solidFill>
              <w14:schemeClr w14:val="tx1"/>
            </w14:solidFill>
          </w14:textFill>
        </w:rPr>
        <w:t xml:space="preserve">评标委员会由采购人代表和有关技术、经济等方面的专家组成，独立开展评审工作。</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20.2  评标程序</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20.2.1 </w:t>
      </w:r>
      <w:r>
        <w:rPr>
          <w:b/>
          <w:bCs/>
          <w:color w:val="000000" w:themeColor="text1"/>
          <w:szCs w:val="21"/>
          <w14:textFill>
            <w14:solidFill>
              <w14:schemeClr w14:val="tx1"/>
            </w14:solidFill>
          </w14:textFill>
        </w:rPr>
        <w:t xml:space="preserve">投标文件的资格性检查。</w:t>
      </w:r>
      <w:r>
        <w:rPr>
          <w:color w:val="000000" w:themeColor="text1"/>
          <w:szCs w:val="21"/>
          <w14:textFill>
            <w14:solidFill>
              <w14:schemeClr w14:val="tx1"/>
            </w14:solidFill>
          </w14:textFill>
        </w:rPr>
        <w:t xml:space="preserve">公开招标采购项目开标结束后，采购人或者采购代理机构应当依法对投标人的资格进行审查。合格投标人不足3家的，不得评标。在单一品目的货物采购招标中，同一品牌的产品有多家供应商参加投标，只能按照一家供应商计算。</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20.2.2</w:t>
      </w:r>
      <w:r>
        <w:rPr>
          <w:color w:val="000000" w:themeColor="text1"/>
          <w:szCs w:val="21"/>
          <w14:textFill>
            <w14:solidFill>
              <w14:schemeClr w14:val="tx1"/>
            </w14:solidFill>
          </w14:textFill>
        </w:rPr>
        <w:t xml:space="preserve"> </w:t>
      </w:r>
      <w:r>
        <w:rPr>
          <w:b/>
          <w:bCs/>
          <w:color w:val="000000" w:themeColor="text1"/>
          <w:szCs w:val="21"/>
          <w14:textFill>
            <w14:solidFill>
              <w14:schemeClr w14:val="tx1"/>
            </w14:solidFill>
          </w14:textFill>
        </w:rPr>
        <w:t xml:space="preserve">投标文件的符合性审查</w:t>
      </w:r>
      <w:r>
        <w:rPr>
          <w:color w:val="000000" w:themeColor="text1"/>
          <w:szCs w:val="21"/>
          <w14:textFill>
            <w14:solidFill>
              <w14:schemeClr w14:val="tx1"/>
            </w14:solidFill>
          </w14:textFill>
        </w:rPr>
        <w:t xml:space="preserve">。评标委员会对符合资格的投标人的投标文件进行符合性审查，以确定其是否满足招标文件的实质性要求。出现下列情形的，按无效投标处理：</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szCs w:val="21"/>
          <w14:textFill>
            <w14:solidFill>
              <w14:schemeClr w14:val="tx1"/>
            </w14:solidFill>
          </w14:textFill>
        </w:rPr>
        <w:t xml:space="preserve">投标文件未按</w:t>
      </w:r>
      <w:r>
        <w:rPr>
          <w:color w:val="000000" w:themeColor="text1"/>
          <w14:textFill>
            <w14:solidFill>
              <w14:schemeClr w14:val="tx1"/>
            </w14:solidFill>
          </w14:textFill>
        </w:rPr>
        <w:t xml:space="preserve">规定期限投标的，未按照</w:t>
      </w:r>
      <w:r>
        <w:rPr>
          <w:color w:val="000000" w:themeColor="text1"/>
          <w:szCs w:val="21"/>
          <w14:textFill>
            <w14:solidFill>
              <w14:schemeClr w14:val="tx1"/>
            </w14:solidFill>
          </w14:textFill>
        </w:rPr>
        <w:t xml:space="preserve">招标文件要求</w:t>
      </w:r>
      <w:r>
        <w:rPr>
          <w:color w:val="000000" w:themeColor="text1"/>
          <w14:textFill>
            <w14:solidFill>
              <w14:schemeClr w14:val="tx1"/>
            </w14:solidFill>
          </w14:textFill>
        </w:rPr>
        <w:t xml:space="preserve">上传电子投标文件的，纸质投标文件（如有）未按规定的期限、地点送达的；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投标文件未按采购文件要求签章的；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投标人在苏采云系统规定的时间内未成功解密电子投标文件的；</w:t>
      </w:r>
      <w:r/>
    </w:p>
    <w:p>
      <w:pPr>
        <w:numPr>
          <w:ilvl w:val="0"/>
          <w:numId w:val="4"/>
        </w:num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投标人的法定代表人授权代表，无法定代表人授权委托书的</w:t>
      </w:r>
      <w:r>
        <w:rPr>
          <w:color w:val="000000" w:themeColor="text1"/>
          <w:szCs w:val="21"/>
          <w14:textFill>
            <w14:solidFill>
              <w14:schemeClr w14:val="tx1"/>
            </w14:solidFill>
          </w14:textFill>
        </w:rPr>
        <w:t xml:space="preserve">；</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不具备采购</w:t>
      </w:r>
      <w:r>
        <w:rPr>
          <w:color w:val="000000" w:themeColor="text1"/>
          <w:szCs w:val="21"/>
          <w14:textFill>
            <w14:solidFill>
              <w14:schemeClr w14:val="tx1"/>
            </w14:solidFill>
          </w14:textFill>
        </w:rPr>
        <w:t xml:space="preserve">文件中规定的</w:t>
      </w:r>
      <w:r>
        <w:rPr>
          <w:color w:val="000000" w:themeColor="text1"/>
          <w14:textFill>
            <w14:solidFill>
              <w14:schemeClr w14:val="tx1"/>
            </w14:solidFill>
          </w14:textFill>
        </w:rPr>
        <w:t xml:space="preserve">资格要求或未按采购文件规定的要求提供资格、资信证明文件的；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被“信用中国”网站（</w:t>
      </w:r>
      <w:r>
        <w:fldChar w:fldCharType="begin"/>
      </w:r>
      <w:r>
        <w:instrText xml:space="preserve"> HYPERLINK "http://www.creditchina.gov.cn" </w:instrText>
      </w:r>
      <w:r>
        <w:fldChar w:fldCharType="separate"/>
      </w:r>
      <w:r>
        <w:rPr>
          <w:color w:val="000000" w:themeColor="text1"/>
          <w14:textFill>
            <w14:solidFill>
              <w14:schemeClr w14:val="tx1"/>
            </w14:solidFill>
          </w14:textFill>
        </w:rPr>
        <w:t xml:space="preserve">www.creditchina.gov.cn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投标文件未按采购文件规定的内容和要求填写的；没有在投标系统指定位置上传对应文件、材料的；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投标文件图片、字迹模糊不清、无法辨认的；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投标文件中有采购文件未允许提供的选择性内容；</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不同投标人的投标文件由同一单位</w:t>
      </w:r>
      <w:r>
        <w:rPr>
          <w:color w:val="000000" w:themeColor="text1"/>
          <w:szCs w:val="21"/>
          <w14:textFill>
            <w14:solidFill>
              <w14:schemeClr w14:val="tx1"/>
            </w14:solidFill>
          </w14:textFill>
        </w:rPr>
        <w:t xml:space="preserve">或者</w:t>
      </w:r>
      <w:r>
        <w:rPr>
          <w:color w:val="000000" w:themeColor="text1"/>
          <w14:textFill>
            <w14:solidFill>
              <w14:schemeClr w14:val="tx1"/>
            </w14:solidFill>
          </w14:textFill>
        </w:rPr>
        <w:t xml:space="preserve">个人编制的；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不同投标人委托同一单位或者个人办理投标事宜的；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不同投标人的单位负责人为同一人或者存在直接控股、管理关系的；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不同</w:t>
      </w:r>
      <w:r>
        <w:rPr>
          <w:color w:val="000000" w:themeColor="text1"/>
          <w:szCs w:val="21"/>
          <w14:textFill>
            <w14:solidFill>
              <w14:schemeClr w14:val="tx1"/>
            </w14:solidFill>
          </w14:textFill>
        </w:rPr>
        <w:t xml:space="preserve">投标</w:t>
      </w:r>
      <w:r>
        <w:rPr>
          <w:color w:val="000000" w:themeColor="text1"/>
          <w14:textFill>
            <w14:solidFill>
              <w14:schemeClr w14:val="tx1"/>
            </w14:solidFill>
          </w14:textFill>
        </w:rPr>
        <w:t xml:space="preserve">人投标</w:t>
      </w:r>
      <w:r>
        <w:rPr>
          <w:color w:val="000000" w:themeColor="text1"/>
          <w:szCs w:val="21"/>
          <w14:textFill>
            <w14:solidFill>
              <w14:schemeClr w14:val="tx1"/>
            </w14:solidFill>
          </w14:textFill>
        </w:rPr>
        <w:t xml:space="preserve">文件</w:t>
      </w:r>
      <w:r>
        <w:rPr>
          <w:color w:val="000000" w:themeColor="text1"/>
          <w14:textFill>
            <w14:solidFill>
              <w14:schemeClr w14:val="tx1"/>
            </w14:solidFill>
          </w14:textFill>
        </w:rPr>
        <w:t xml:space="preserve">内容存在非正常一致、项目组成员</w:t>
      </w:r>
      <w:r>
        <w:rPr>
          <w:color w:val="000000" w:themeColor="text1"/>
          <w:szCs w:val="21"/>
          <w14:textFill>
            <w14:solidFill>
              <w14:schemeClr w14:val="tx1"/>
            </w14:solidFill>
          </w14:textFill>
        </w:rPr>
        <w:t xml:space="preserve">出现</w:t>
      </w:r>
      <w:r>
        <w:rPr>
          <w:color w:val="000000" w:themeColor="text1"/>
          <w14:textFill>
            <w14:solidFill>
              <w14:schemeClr w14:val="tx1"/>
            </w14:solidFill>
          </w14:textFill>
        </w:rPr>
        <w:t xml:space="preserve">同一人、投标文件中错误（或异常）</w:t>
      </w:r>
      <w:r>
        <w:rPr>
          <w:color w:val="000000" w:themeColor="text1"/>
          <w:szCs w:val="21"/>
          <w14:textFill>
            <w14:solidFill>
              <w14:schemeClr w14:val="tx1"/>
            </w14:solidFill>
          </w14:textFill>
        </w:rPr>
        <w:t xml:space="preserve">一致</w:t>
      </w:r>
      <w:r>
        <w:rPr>
          <w:color w:val="000000" w:themeColor="text1"/>
          <w14:textFill>
            <w14:solidFill>
              <w14:schemeClr w14:val="tx1"/>
            </w14:solidFill>
          </w14:textFill>
        </w:rPr>
        <w:t xml:space="preserve">或雷同、电子文档信息一致或雷同的、投标报价呈规律性差异的；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项目（标段）投标总价超过本项目（标段）预算或最高限价的；</w:t>
      </w:r>
      <w:r/>
    </w:p>
    <w:p>
      <w:pPr>
        <w:numPr>
          <w:ilvl w:val="0"/>
          <w:numId w:val="4"/>
        </w:num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提供虚假材料的（包括工商营业执照、财务报表、资格证明文件等）</w:t>
      </w:r>
      <w:r>
        <w:rPr>
          <w:color w:val="000000" w:themeColor="text1"/>
          <w:szCs w:val="21"/>
          <w14:textFill>
            <w14:solidFill>
              <w14:schemeClr w14:val="tx1"/>
            </w14:solidFill>
          </w14:textFill>
        </w:rPr>
        <w:t xml:space="preserve">；</w:t>
      </w:r>
      <w:r/>
    </w:p>
    <w:p>
      <w:pPr>
        <w:numPr>
          <w:ilvl w:val="0"/>
          <w:numId w:val="4"/>
        </w:num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投标文件含有采购人不能接受的附加条件的；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评标委员会认定</w:t>
      </w:r>
      <w:r>
        <w:rPr>
          <w:color w:val="000000" w:themeColor="text1"/>
          <w:szCs w:val="21"/>
          <w14:textFill>
            <w14:solidFill>
              <w14:schemeClr w14:val="tx1"/>
            </w14:solidFill>
          </w14:textFill>
        </w:rPr>
        <w:t xml:space="preserve">投标</w:t>
      </w:r>
      <w:r>
        <w:rPr>
          <w:color w:val="000000" w:themeColor="text1"/>
          <w14:textFill>
            <w14:solidFill>
              <w14:schemeClr w14:val="tx1"/>
            </w14:solidFill>
          </w14:textFill>
        </w:rPr>
        <w:t xml:space="preserve">人的报价明显低于其他通过符合性审查投标人的报价，有可能影响产品质量或者不能诚信履约，将通过“苏采云系统”要求其在评标现场合理的时间内提供书面说明（必要时评标委员会可要求投标人提交相关证明材料）；投标人不能证明其报价合理性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14:textFill>
            <w14:solidFill>
              <w14:schemeClr w14:val="tx1"/>
            </w14:solidFill>
          </w14:textFill>
        </w:rPr>
        <w:t xml:space="preserve">除单一来源采购项目外，为采购项目提供整体设计、规范编制或者项目管理、监理、检测等服务的；</w:t>
      </w:r>
      <w:r/>
    </w:p>
    <w:p>
      <w:pPr>
        <w:numPr>
          <w:ilvl w:val="0"/>
          <w:numId w:val="4"/>
        </w:num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投标</w:t>
      </w:r>
      <w:r>
        <w:rPr>
          <w:color w:val="000000" w:themeColor="text1"/>
          <w:szCs w:val="21"/>
          <w14:textFill>
            <w14:solidFill>
              <w14:schemeClr w14:val="tx1"/>
            </w14:solidFill>
          </w14:textFill>
        </w:rPr>
        <w:t xml:space="preserve">文件内容不全或不符合</w:t>
      </w:r>
      <w:r>
        <w:rPr>
          <w:color w:val="000000" w:themeColor="text1"/>
          <w14:textFill>
            <w14:solidFill>
              <w14:schemeClr w14:val="tx1"/>
            </w14:solidFill>
          </w14:textFill>
        </w:rPr>
        <w:t xml:space="preserve">采购</w:t>
      </w:r>
      <w:r>
        <w:rPr>
          <w:color w:val="000000" w:themeColor="text1"/>
          <w:szCs w:val="21"/>
          <w14:textFill>
            <w14:solidFill>
              <w14:schemeClr w14:val="tx1"/>
            </w14:solidFill>
          </w14:textFill>
        </w:rPr>
        <w:t xml:space="preserve">文件中规定的</w:t>
      </w:r>
      <w:r>
        <w:rPr>
          <w:color w:val="000000" w:themeColor="text1"/>
          <w14:textFill>
            <w14:solidFill>
              <w14:schemeClr w14:val="tx1"/>
            </w14:solidFill>
          </w14:textFill>
        </w:rPr>
        <w:t xml:space="preserve">其他</w:t>
      </w:r>
      <w:r>
        <w:rPr>
          <w:color w:val="000000" w:themeColor="text1"/>
          <w:szCs w:val="21"/>
          <w14:textFill>
            <w14:solidFill>
              <w14:schemeClr w14:val="tx1"/>
            </w14:solidFill>
          </w14:textFill>
        </w:rPr>
        <w:t xml:space="preserve">实质性要求的；</w:t>
      </w:r>
      <w:r/>
    </w:p>
    <w:p>
      <w:pPr>
        <w:numPr>
          <w:ilvl w:val="0"/>
          <w:numId w:val="4"/>
        </w:numPr>
        <w:ind w:firstLine="420"/>
        <w:spacing w:line="360" w:lineRule="auto"/>
        <w:shd w:val="clear" w:color="auto" w:fill="ffffff"/>
        <w:widowControl/>
        <w:rPr>
          <w:color w:val="000000" w:themeColor="text1"/>
          <w14:textFill>
            <w14:solidFill>
              <w14:schemeClr w14:val="tx1"/>
            </w14:solidFill>
          </w14:textFill>
        </w:rPr>
      </w:pPr>
      <w:r>
        <w:rPr>
          <w:color w:val="000000" w:themeColor="text1"/>
          <w:szCs w:val="21"/>
          <w14:textFill>
            <w14:solidFill>
              <w14:schemeClr w14:val="tx1"/>
            </w14:solidFill>
          </w14:textFill>
        </w:rPr>
        <w:t xml:space="preserve">法律法规和</w:t>
      </w:r>
      <w:r>
        <w:rPr>
          <w:color w:val="000000" w:themeColor="text1"/>
          <w14:textFill>
            <w14:solidFill>
              <w14:schemeClr w14:val="tx1"/>
            </w14:solidFill>
          </w14:textFill>
        </w:rPr>
        <w:t xml:space="preserve">采购</w:t>
      </w:r>
      <w:r>
        <w:rPr>
          <w:color w:val="000000" w:themeColor="text1"/>
          <w:szCs w:val="21"/>
          <w14:textFill>
            <w14:solidFill>
              <w14:schemeClr w14:val="tx1"/>
            </w14:solidFill>
          </w14:textFill>
        </w:rPr>
        <w:t xml:space="preserve">文件规定的其他无效情形。</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20.2.2.1 实质性要求是指本招标文件中用带星号（“</w:t>
      </w:r>
      <w:r>
        <w:rPr>
          <w:rFonts w:hint="eastAsia" w:ascii="宋体" w:hAnsi="宋体" w:cs="宋体"/>
          <w:b/>
          <w:bCs/>
          <w:color w:val="000000" w:themeColor="text1"/>
          <w:szCs w:val="21"/>
          <w14:textFill>
            <w14:solidFill>
              <w14:schemeClr w14:val="tx1"/>
            </w14:solidFill>
          </w14:textFill>
        </w:rPr>
        <w:t xml:space="preserve">★</w:t>
      </w:r>
      <w:r>
        <w:rPr>
          <w:b/>
          <w:bCs/>
          <w:color w:val="000000" w:themeColor="text1"/>
          <w:szCs w:val="21"/>
          <w14:textFill>
            <w14:solidFill>
              <w14:schemeClr w14:val="tx1"/>
            </w14:solidFill>
          </w14:textFill>
        </w:rPr>
        <w:t xml:space="preserve">”）、“必须”或“应（应当）”等其他文字说明的商务和技术要求。</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20.2.3</w:t>
      </w:r>
      <w:r>
        <w:rPr>
          <w:b/>
          <w:bCs/>
          <w:color w:val="000000" w:themeColor="text1"/>
          <w:szCs w:val="21"/>
          <w14:textFill>
            <w14:solidFill>
              <w14:schemeClr w14:val="tx1"/>
            </w14:solidFill>
          </w14:textFill>
        </w:rPr>
        <w:t xml:space="preserve">澄清有关问题</w:t>
      </w:r>
      <w:r>
        <w:rPr>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20.2.3.1对于投标文件中含义不明确、同类问题表述不一致或者有明显文字和计算错误的内容，评标委员会应当以书面形式要求投标人作出必要的澄清、说明或者补正。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20.2.3.2投标人的澄清、说明或者补正应当采用书面形式，并加盖公章，或者由法定代表人或其授权的代表签字。投标人的澄清、说明或者补正不得超出投标文件的范围或者改变投标文件的实质性内容。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20.2.4 </w:t>
      </w:r>
      <w:r>
        <w:rPr>
          <w:b/>
          <w:bCs/>
          <w:color w:val="000000" w:themeColor="text1"/>
          <w:szCs w:val="21"/>
          <w14:textFill>
            <w14:solidFill>
              <w14:schemeClr w14:val="tx1"/>
            </w14:solidFill>
          </w14:textFill>
        </w:rPr>
        <w:t xml:space="preserve">比较与评价。</w:t>
      </w:r>
      <w:r>
        <w:rPr>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20.3 评标方法和标准</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20.3.1 采用综合评分法。综合评分法，是指投标文件满足招标文件全部实质性要求，且按照评审因素的量化指标评审得分最高的投标人为中标候选人的评标方法。评标时，评标委员会各成员应当独立对每个投标人的投标文件进行评价，并汇总每个投标人的得分。</w:t>
      </w:r>
      <w:r/>
    </w:p>
    <w:p>
      <w:pPr>
        <w:ind w:firstLine="420"/>
        <w:jc w:val="left"/>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20.3.2  评分标准及评审因素：详见第三章</w:t>
      </w:r>
      <w:r/>
    </w:p>
    <w:p>
      <w:pPr>
        <w:ind w:firstLine="420"/>
        <w:jc w:val="left"/>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20.4 评标委员会启动异常低价投标审查的情形和具体要求</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20.4.1评标过程中出现下列情形之一的，评标委员会应当启动异常低价投标审查程序：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（1）投标报价低于招标项目预算50%的，即投标报价&lt;招标项目预算×50%；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投标报价低于招标项目最高限价45%的，即投标报价&lt;招标项目最高限价×45% ；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评标委员会认定的投标人报价过低、有可能影响产品质量或者不能诚信履约的其他情形。</w:t>
      </w:r>
      <w:r/>
    </w:p>
    <w:p>
      <w:pPr>
        <w:ind w:firstLine="420"/>
        <w:jc w:val="left"/>
        <w:spacing w:line="360" w:lineRule="auto"/>
        <w:shd w:val="clear" w:color="auto" w:fill="ffffff"/>
        <w:widowControl/>
      </w:pPr>
      <w:r>
        <w:rPr>
          <w:color w:val="000000" w:themeColor="text1"/>
          <w:szCs w:val="21"/>
          <w14:textFill>
            <w14:solidFill>
              <w14:schemeClr w14:val="tx1"/>
            </w14:solidFill>
          </w14:textFill>
        </w:rPr>
        <w:t xml:space="preserve">20.4.2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spacing w:line="360" w:lineRule="auto"/>
        <w:shd w:val="clear" w:color="auto" w:fill="ffffff"/>
        <w:widowControl/>
        <w:rPr>
          <w:b/>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20.5 </w:t>
      </w:r>
      <w:r>
        <w:rPr>
          <w:b/>
          <w:color w:val="000000" w:themeColor="text1"/>
          <w:szCs w:val="21"/>
          <w14:textFill>
            <w14:solidFill>
              <w14:schemeClr w14:val="tx1"/>
            </w14:solidFill>
          </w14:textFill>
        </w:rPr>
        <w:t xml:space="preserve">出现下列情形之一的，应予废标：</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（2）出现影响采购公正的违法、违规行为的；</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（3）投标人的报价均超过了采购预算，采购人不能支付的；</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（4）因重大变故，采购任务取消的。</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在评标期间，通过资格审查或符合性审查的投标人不足3家情形的，比照</w:t>
      </w:r>
      <w:r>
        <w:rPr>
          <w:b/>
          <w:bCs/>
          <w:color w:val="000000" w:themeColor="text1"/>
          <w:szCs w:val="21"/>
          <w14:textFill>
            <w14:solidFill>
              <w14:schemeClr w14:val="tx1"/>
            </w14:solidFill>
          </w14:textFill>
        </w:rPr>
        <w:t xml:space="preserve">19.5</w:t>
      </w:r>
      <w:r>
        <w:rPr>
          <w:color w:val="000000" w:themeColor="text1"/>
          <w:szCs w:val="21"/>
          <w14:textFill>
            <w14:solidFill>
              <w14:schemeClr w14:val="tx1"/>
            </w14:solidFill>
          </w14:textFill>
        </w:rPr>
        <w:t xml:space="preserve">款执行。</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21、确定中标供应商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21.2 中标人确定后，在</w:t>
      </w:r>
      <w:r>
        <w:rPr>
          <w:rStyle w:val="979"/>
          <w:b w:val="0"/>
          <w:color w:val="000000" w:themeColor="text1"/>
          <w14:textFill>
            <w14:solidFill>
              <w14:schemeClr w14:val="tx1"/>
            </w14:solidFill>
          </w14:textFill>
        </w:rPr>
        <w:t xml:space="preserve">无锡政府采购网、</w:t>
      </w:r>
      <w:r>
        <w:rPr>
          <w:color w:val="000000" w:themeColor="text1"/>
          <w:szCs w:val="21"/>
          <w14:textFill>
            <w14:solidFill>
              <w14:schemeClr w14:val="tx1"/>
            </w14:solidFill>
          </w14:textFill>
        </w:rPr>
        <w:t xml:space="preserve">江苏省政府采购网、中国政府采购网上公告中标结果，中标公告期为1个工作日，公告的同时向中标供应商发出中标通知书。</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21.3 中标通知书对采购人和中标供应商具有同等法律效力。</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21.4 中标通知书发出后，采购人或中标供应商拒绝签订合同的，拒绝签订合同的一方应至少向另一方支付为招标、投标所发生的有关费用和双方商定的其他补偿。</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21.5 中标通知书发出后，中标供应商无正当理由不与采购人签订合同的，情节严重的，由财政部门将其列入不良行为记录名单，在一至三年内禁止参加政府采购活动，并予以通报。</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21.6 所有投标文件不论中标与否，均不退回。</w:t>
      </w:r>
      <w:r/>
    </w:p>
    <w:p>
      <w:pPr>
        <w:ind w:firstLine="412"/>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22、编写评标报告</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22.1 评标委员会根据全体评标成员签字的原始评标记录和评标结果编写评标报告。</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23、评标过程的保密性</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23.1 采购人和采购代理机构将采取必要措施，保证评标在严格保密的情况下进行。</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23.2 任何单位和个人不得非法干预、影响评标办法的确定，以及评标过程和结果。</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23.3 凡是与审查、澄清、评价和比较投标的有关资料等，均不向投标人及与评标无关的其他人员透露。</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六、签订合同</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24、签订合同</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24.1 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24.2采购人不得向中标人提出任何不合理的要求作为签订合同的条件。采购人因不可抗力原因迟延签订合同的，应当自不可抗力事由消除之日起7日内完成合同签订事宜。</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24.3 中标供应商拒绝与采购人签订合同的，采购人可以按照评审报告推荐的中标或者成交候选人名单排序，确定下一候选人为中标或者成交供应商，也可以重新开展政府采购活动。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24.4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24.5 采购人与中标人应当根据合同的约定依法履行合同义务。</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七、质疑和投诉</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25、质疑</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25.1 供应商对招标活动事项有疑问的，可以向采购代理机构提出询问，采购代理机构将依法作出答复，但答复的内容不涉及商业秘密</w:t>
      </w:r>
      <w:r>
        <w:rPr>
          <w:b/>
          <w:bCs/>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25.2 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供应商应知其权益受到损害之日，是指：</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（一）对可以质疑的采购文件提出质疑的，为收到采购文件之日或者采购文件公告期限届满之日；</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25.3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25.4 质疑文件应包括以下主要内容，并按照“谁主张、谁举证”的原则，附上相关证明材料。否则，采购代理机构不予受理：</w:t>
      </w:r>
      <w:r/>
    </w:p>
    <w:p>
      <w:pPr>
        <w:ind w:left="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（2）具体的质疑事项及法律依据（具体条款）；</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b/>
          <w:bCs/>
          <w:color w:val="000000" w:themeColor="text1"/>
          <w:szCs w:val="21"/>
          <w14:textFill>
            <w14:solidFill>
              <w14:schemeClr w14:val="tx1"/>
            </w14:solidFill>
          </w14:textFill>
        </w:rPr>
        <w:t xml:space="preserve">修改理由</w:t>
      </w:r>
      <w:r>
        <w:rPr>
          <w:color w:val="000000" w:themeColor="text1"/>
          <w:szCs w:val="21"/>
          <w14:textFill>
            <w14:solidFill>
              <w14:schemeClr w14:val="tx1"/>
            </w14:solidFill>
          </w14:textFill>
        </w:rPr>
        <w:t xml:space="preserve">和</w:t>
      </w:r>
      <w:r>
        <w:rPr>
          <w:b/>
          <w:bCs/>
          <w:color w:val="000000" w:themeColor="text1"/>
          <w:szCs w:val="21"/>
          <w14:textFill>
            <w14:solidFill>
              <w14:schemeClr w14:val="tx1"/>
            </w14:solidFill>
          </w14:textFill>
        </w:rPr>
        <w:t xml:space="preserve">修改建议</w:t>
      </w:r>
      <w:r>
        <w:rPr>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25.5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25.6采购代理机构在收到投标人的书面质疑后将及时组织调查核实，在</w:t>
      </w:r>
      <w:r>
        <w:rPr>
          <w:b/>
          <w:bCs/>
          <w:color w:val="000000" w:themeColor="text1"/>
          <w:szCs w:val="21"/>
          <w14:textFill>
            <w14:solidFill>
              <w14:schemeClr w14:val="tx1"/>
            </w14:solidFill>
          </w14:textFill>
        </w:rPr>
        <w:t xml:space="preserve">七个工作日内</w:t>
      </w:r>
      <w:r>
        <w:rPr>
          <w:color w:val="000000" w:themeColor="text1"/>
          <w:szCs w:val="21"/>
          <w14:textFill>
            <w14:solidFill>
              <w14:schemeClr w14:val="tx1"/>
            </w14:solidFill>
          </w14:textFill>
        </w:rPr>
        <w:t xml:space="preserve">作出答复，并以书面或在网站公告形式通知质疑投标人和其他有关投标人，答复的内容不涉及商业秘密。代理机构遵循“谁过错谁负担”的原则，有过错的一方承担调查论证费用。</w:t>
      </w:r>
      <w:r/>
    </w:p>
    <w:p>
      <w:pPr>
        <w:ind w:firstLine="420"/>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26、投诉</w:t>
      </w:r>
      <w:r/>
    </w:p>
    <w:p>
      <w:pPr>
        <w:ind w:firstLine="420"/>
        <w:spacing w:line="360" w:lineRule="auto"/>
        <w:shd w:val="clear" w:color="auto" w:fill="ffffff"/>
        <w:widowControl/>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26.1 质疑投标人对代理机构的答复不满意，或代理机构未在规定的时间内作出答复的，可以在答复期满后</w:t>
      </w:r>
      <w:r>
        <w:rPr>
          <w:b/>
          <w:bCs/>
          <w:color w:val="000000" w:themeColor="text1"/>
          <w:szCs w:val="21"/>
          <w14:textFill>
            <w14:solidFill>
              <w14:schemeClr w14:val="tx1"/>
            </w14:solidFill>
          </w14:textFill>
        </w:rPr>
        <w:t xml:space="preserve">十五个工作日内</w:t>
      </w:r>
      <w:r>
        <w:rPr>
          <w:color w:val="000000" w:themeColor="text1"/>
          <w:szCs w:val="21"/>
          <w14:textFill>
            <w14:solidFill>
              <w14:schemeClr w14:val="tx1"/>
            </w14:solidFill>
          </w14:textFill>
        </w:rPr>
        <w:t xml:space="preserve">向采购人同级财政部门投诉。</w:t>
      </w:r>
      <w:r>
        <w:rPr>
          <w:b/>
          <w:bCs/>
          <w:color w:val="000000" w:themeColor="text1"/>
          <w:szCs w:val="21"/>
          <w14:textFill>
            <w14:solidFill>
              <w14:schemeClr w14:val="tx1"/>
            </w14:solidFill>
          </w14:textFill>
        </w:rPr>
        <w:t xml:space="preserve"> </w:t>
      </w:r>
      <w:r/>
    </w:p>
    <w:p>
      <w:pPr>
        <w:ind w:firstLine="420"/>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27、履约担保</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27.1履约担保，是指由专业担保机构为中标、成交供应商支付履约保证金的义务向采购人提供的保函担保。专业担保机构根据中标、成交供应商的中标（成交）通知书为凭据，进行资信审查后出具保函,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315"/>
        <w:jc w:val="left"/>
        <w:spacing w:line="360" w:lineRule="auto"/>
        <w:widowControl/>
        <w:tabs>
          <w:tab w:val="left" w:pos="360" w:leader="none"/>
          <w:tab w:val="left" w:pos="960" w:leader="none"/>
        </w:tabs>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pStyle w:val="936"/>
        <w:numPr>
          <w:ilvl w:val="0"/>
          <w:numId w:val="0"/>
        </w:numPr>
        <w:spacing w:line="360" w:lineRule="auto"/>
        <w:rPr>
          <w:color w:val="000000" w:themeColor="text1"/>
          <w:sz w:val="28"/>
          <w:szCs w:val="28"/>
          <w14:textFill>
            <w14:solidFill>
              <w14:schemeClr w14:val="tx1"/>
            </w14:solidFill>
          </w14:textFill>
        </w:rPr>
      </w:pPr>
      <w:r/>
      <w:bookmarkStart w:id="11" w:name="_Toc177025987"/>
      <w:r/>
      <w:bookmarkStart w:id="12" w:name="_Toc481057145"/>
      <w:r>
        <w:rPr>
          <w:color w:val="000000" w:themeColor="text1"/>
          <w:sz w:val="28"/>
          <w:szCs w:val="28"/>
          <w14:textFill>
            <w14:solidFill>
              <w14:schemeClr w14:val="tx1"/>
            </w14:solidFill>
          </w14:textFill>
        </w:rPr>
        <w:t xml:space="preserve">第三章</w:t>
      </w:r>
      <w:r>
        <w:rPr>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评标标准</w:t>
      </w:r>
      <w:bookmarkEnd w:id="11"/>
      <w:r/>
      <w:bookmarkEnd w:id="12"/>
      <w:r/>
      <w:r/>
    </w:p>
    <w:p>
      <w:pPr>
        <w:ind w:firstLine="420"/>
        <w:jc w:val="left"/>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本招标项目比较与评价采用综合评分法（计分均保留2位小数）。</w:t>
      </w:r>
      <w:r/>
    </w:p>
    <w:p>
      <w:pPr>
        <w:ind w:firstLine="420"/>
        <w:spacing w:after="0" w:line="360" w:lineRule="auto"/>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委员会遵循公平、公正、择优原则，独立按照评分标准分别评定投标供应商的分值；各投标供应商的最终得分为各评委所评定分值的平均值，并按高低顺序排列，确定3家中标候选单位，依法确定1家中标供应商。若得分相同，按报价由低到高顺序排列；得分且报价相同，按技术指标优劣顺序排列。</w:t>
      </w:r>
      <w:r/>
    </w:p>
    <w:p>
      <w:pPr>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（一）评分项目及分值（总分100分）</w:t>
      </w:r>
      <w:r/>
    </w:p>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（1）报价                                30分 </w:t>
      </w:r>
      <w:r/>
    </w:p>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（2）投标供应商评价                      14分 </w:t>
      </w:r>
      <w:r/>
    </w:p>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（3）设备配置性能                          36分 </w:t>
      </w:r>
      <w:r/>
    </w:p>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（4）售后服务                                 18分 </w:t>
      </w:r>
      <w:r/>
    </w:p>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（5）国家政策导向                          2分</w:t>
      </w:r>
      <w:r/>
    </w:p>
    <w:p>
      <w:pPr>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（二)各项目评分标准</w:t>
      </w:r>
      <w:r/>
    </w:p>
    <w:p>
      <w:pPr>
        <w:numPr>
          <w:ilvl w:val="0"/>
          <w:numId w:val="5"/>
        </w:numPr>
        <w:ind w:firstLine="289"/>
        <w:spacing w:line="360" w:lineRule="auto"/>
        <w:tabs>
          <w:tab w:val="left" w:pos="426" w:leader="none"/>
        </w:tabs>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报价（30分）</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各投标供应商的有效投标报价（报价超预算，按无效处理），满足采购文件要求的最低投标报价为评标基准价，其价格为30分。其他投标供应商的价格分统一按照下列公式计算，最高得分为30分：</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投标报价得分=30×（评标基准价/投标报价)。</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价格扣除说明：</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1.小微企业价格扣除</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1.3 小企业（含小型、微型企业）应当提供《中小企业声明函》，且符合《政府采购促进中小企业发展办法》（财库〔2020〕46号）的相关规定。</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2.监狱和戒毒企业的价格扣除</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2.1 本项目对监狱和戒毒企业，给予10%的价格扣除，用扣除后的价格参与评审。</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2.2 监狱企业需提供由省级以上监狱管理局、戒毒管理局（含新疆生产建设兵团）出具的属于监狱企业的证明文件。</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2.3 监狱企业标准请参照《关于政府采购支持监狱企业发展有关问题的通知》（财库〔2014〕68号）。</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3.残疾人福利性单位的价格扣除</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3.1 本项目对残疾人福利性单位，给予10%的价格扣除，用扣除后的价格参与评审。</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3.2 残疾人福利性单位需提供《残疾人福利性单位声明函》</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3.3 残疾人福利性单位标准请参照《关于促进残疾人就业政府采购政策的通知》（财库〔2017〕141号）。</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4. 监狱企业、残疾人福利性单位属于小型、微型企业的，不重复享受政策。</w:t>
      </w:r>
      <w:r/>
    </w:p>
    <w:p>
      <w:pPr>
        <w:ind w:firstLine="420"/>
        <w:spacing w:after="0" w:line="20" w:lineRule="atLeast"/>
        <w:tabs>
          <w:tab w:val="left" w:pos="426"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p>
      <w:pPr>
        <w:numPr>
          <w:ilvl w:val="0"/>
          <w:numId w:val="5"/>
        </w:numPr>
        <w:ind w:firstLine="289"/>
        <w:spacing w:line="360" w:lineRule="auto"/>
        <w:tabs>
          <w:tab w:val="left" w:pos="426" w:leader="none"/>
        </w:tabs>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投标供应商评价（14分）</w:t>
      </w:r>
      <w:r/>
    </w:p>
    <w:p>
      <w:pPr>
        <w:ind w:firstLine="420"/>
        <w:spacing w:after="0" w:line="360" w:lineRule="auto"/>
        <w:widowControl/>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1）投标供应商所提供的免费质保期在</w:t>
      </w:r>
      <w:bookmarkStart w:id="13" w:name="OLE_LINK3"/>
      <w:r>
        <w:rPr>
          <w:bCs/>
          <w:color w:val="000000" w:themeColor="text1"/>
          <w:szCs w:val="21"/>
          <w:highlight w:val="none"/>
          <w14:textFill>
            <w14:solidFill>
              <w14:schemeClr w14:val="tx1"/>
            </w14:solidFill>
          </w14:textFill>
        </w:rPr>
        <w:t xml:space="preserve">满足招标文件要求的基础上</w:t>
      </w:r>
      <w:bookmarkEnd w:id="13"/>
      <w:r>
        <w:rPr>
          <w:bCs/>
          <w:color w:val="000000" w:themeColor="text1"/>
          <w:szCs w:val="21"/>
          <w:highlight w:val="none"/>
          <w14:textFill>
            <w14:solidFill>
              <w14:schemeClr w14:val="tx1"/>
            </w14:solidFill>
          </w14:textFill>
        </w:rPr>
        <w:t xml:space="preserve">，每延长</w:t>
      </w:r>
      <w:r>
        <w:rPr>
          <w:rFonts w:hint="eastAsia"/>
          <w:bCs/>
          <w:color w:val="000000" w:themeColor="text1"/>
          <w:szCs w:val="21"/>
          <w:highlight w:val="none"/>
          <w14:textFill>
            <w14:solidFill>
              <w14:schemeClr w14:val="tx1"/>
            </w14:solidFill>
          </w14:textFill>
        </w:rPr>
        <w:t xml:space="preserve">1年</w:t>
      </w:r>
      <w:r>
        <w:rPr>
          <w:bCs/>
          <w:color w:val="000000" w:themeColor="text1"/>
          <w:szCs w:val="21"/>
          <w:highlight w:val="none"/>
          <w14:textFill>
            <w14:solidFill>
              <w14:schemeClr w14:val="tx1"/>
            </w14:solidFill>
          </w14:textFill>
        </w:rPr>
        <w:t xml:space="preserve">加</w:t>
      </w:r>
      <w:r>
        <w:rPr>
          <w:rFonts w:hint="eastAsia"/>
          <w:bCs/>
          <w:color w:val="000000" w:themeColor="text1"/>
          <w:szCs w:val="21"/>
          <w:highlight w:val="none"/>
          <w14:textFill>
            <w14:solidFill>
              <w14:schemeClr w14:val="tx1"/>
            </w14:solidFill>
          </w14:textFill>
        </w:rPr>
        <w:t xml:space="preserve">3</w:t>
      </w:r>
      <w:r>
        <w:rPr>
          <w:bCs/>
          <w:color w:val="000000" w:themeColor="text1"/>
          <w:szCs w:val="21"/>
          <w:highlight w:val="none"/>
          <w14:textFill>
            <w14:solidFill>
              <w14:schemeClr w14:val="tx1"/>
            </w14:solidFill>
          </w14:textFill>
        </w:rPr>
        <w:t xml:space="preserve">分，本项最高得6分；</w:t>
      </w:r>
      <w:r/>
    </w:p>
    <w:p>
      <w:pPr>
        <w:ind w:firstLine="420"/>
        <w:spacing w:after="0" w:line="360" w:lineRule="auto"/>
        <w:widowControl/>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2）提供投标</w:t>
      </w:r>
      <w:bookmarkStart w:id="14" w:name="OLE_LINK2"/>
      <w:r>
        <w:rPr>
          <w:bCs/>
          <w:color w:val="000000" w:themeColor="text1"/>
          <w:szCs w:val="21"/>
          <w:highlight w:val="none"/>
          <w14:textFill>
            <w14:solidFill>
              <w14:schemeClr w14:val="tx1"/>
            </w14:solidFill>
          </w14:textFill>
        </w:rPr>
        <w:t xml:space="preserve">供应商或制造商</w:t>
      </w:r>
      <w:bookmarkEnd w:id="14"/>
      <w:r>
        <w:rPr>
          <w:bCs/>
          <w:color w:val="000000" w:themeColor="text1"/>
          <w:szCs w:val="21"/>
          <w:highlight w:val="none"/>
          <w14:textFill>
            <w14:solidFill>
              <w14:schemeClr w14:val="tx1"/>
            </w14:solidFill>
          </w14:textFill>
        </w:rPr>
        <w:t xml:space="preserve">2022年</w:t>
      </w:r>
      <w:r>
        <w:rPr>
          <w:rFonts w:hint="eastAsia"/>
          <w:bCs/>
          <w:color w:val="000000" w:themeColor="text1"/>
          <w:szCs w:val="21"/>
          <w:highlight w:val="none"/>
          <w14:textFill>
            <w14:solidFill>
              <w14:schemeClr w14:val="tx1"/>
            </w14:solidFill>
          </w14:textFill>
        </w:rPr>
        <w:t xml:space="preserve">1</w:t>
      </w:r>
      <w:r>
        <w:rPr>
          <w:bCs/>
          <w:color w:val="000000" w:themeColor="text1"/>
          <w:szCs w:val="21"/>
          <w:highlight w:val="none"/>
          <w14:textFill>
            <w14:solidFill>
              <w14:schemeClr w14:val="tx1"/>
            </w14:solidFill>
          </w14:textFill>
        </w:rPr>
        <w:t xml:space="preserve">月1日以来所投核心产品成功销售案例</w:t>
      </w:r>
      <w:r>
        <w:rPr>
          <w:rFonts w:hint="eastAsia"/>
          <w:bCs/>
          <w:color w:val="000000" w:themeColor="text1"/>
          <w:szCs w:val="21"/>
          <w:highlight w:val="none"/>
          <w14:textFill>
            <w14:solidFill>
              <w14:schemeClr w14:val="tx1"/>
            </w14:solidFill>
          </w14:textFill>
        </w:rPr>
        <w:t xml:space="preserve">（应用单位为检验检测机构）</w:t>
      </w:r>
      <w:r>
        <w:rPr>
          <w:bCs/>
          <w:color w:val="000000" w:themeColor="text1"/>
          <w:szCs w:val="21"/>
          <w:highlight w:val="none"/>
          <w14:textFill>
            <w14:solidFill>
              <w14:schemeClr w14:val="tx1"/>
            </w14:solidFill>
          </w14:textFill>
        </w:rPr>
        <w:t xml:space="preserve">的一个得</w:t>
      </w:r>
      <w:r>
        <w:rPr>
          <w:rFonts w:hint="eastAsia"/>
          <w:bCs/>
          <w:color w:val="000000" w:themeColor="text1"/>
          <w:szCs w:val="21"/>
          <w:highlight w:val="none"/>
          <w14:textFill>
            <w14:solidFill>
              <w14:schemeClr w14:val="tx1"/>
            </w14:solidFill>
          </w14:textFill>
        </w:rPr>
        <w:t xml:space="preserve">1</w:t>
      </w:r>
      <w:r>
        <w:rPr>
          <w:bCs/>
          <w:color w:val="000000" w:themeColor="text1"/>
          <w:szCs w:val="21"/>
          <w:highlight w:val="none"/>
          <w14:textFill>
            <w14:solidFill>
              <w14:schemeClr w14:val="tx1"/>
            </w14:solidFill>
          </w14:textFill>
        </w:rPr>
        <w:t xml:space="preserve">分，本项最高得6分;（注:时间以发票时间为准，需提供合同扫描件并加盖供应商电子签章，以及该合同对应核心产品的供应商或制造商销售发票</w:t>
      </w:r>
      <w:r>
        <w:rPr>
          <w:rFonts w:hint="eastAsia"/>
          <w:bCs/>
          <w:color w:val="000000" w:themeColor="text1"/>
          <w:szCs w:val="21"/>
          <w:highlight w:val="none"/>
          <w14:textFill>
            <w14:solidFill>
              <w14:schemeClr w14:val="tx1"/>
            </w14:solidFill>
          </w14:textFill>
        </w:rPr>
        <w:t xml:space="preserve">，还需提供使用单位</w:t>
      </w:r>
      <w:bookmarkStart w:id="15" w:name="OLE_LINK5"/>
      <w:r/>
      <w:bookmarkStart w:id="16" w:name="OLE_LINK4"/>
      <w:r>
        <w:rPr>
          <w:rFonts w:hint="eastAsia"/>
          <w:bCs/>
          <w:color w:val="000000" w:themeColor="text1"/>
          <w:szCs w:val="21"/>
          <w:highlight w:val="none"/>
          <w14:textFill>
            <w14:solidFill>
              <w14:schemeClr w14:val="tx1"/>
            </w14:solidFill>
          </w14:textFill>
        </w:rPr>
        <w:t xml:space="preserve">验收的凭证</w:t>
      </w:r>
      <w:bookmarkEnd w:id="15"/>
      <w:r/>
      <w:bookmarkEnd w:id="16"/>
      <w:r>
        <w:rPr>
          <w:bCs/>
          <w:color w:val="000000" w:themeColor="text1"/>
          <w:szCs w:val="21"/>
          <w:highlight w:val="none"/>
          <w14:textFill>
            <w14:solidFill>
              <w14:schemeClr w14:val="tx1"/>
            </w14:solidFill>
          </w14:textFill>
        </w:rPr>
        <w:t xml:space="preserve">。一份合同</w:t>
      </w: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销售发票</w:t>
      </w:r>
      <w:r>
        <w:rPr>
          <w:rFonts w:hint="eastAsia"/>
          <w:bCs/>
          <w:color w:val="000000" w:themeColor="text1"/>
          <w:szCs w:val="21"/>
          <w:highlight w:val="none"/>
          <w14:textFill>
            <w14:solidFill>
              <w14:schemeClr w14:val="tx1"/>
            </w14:solidFill>
          </w14:textFill>
        </w:rPr>
        <w:t xml:space="preserve">及验收的凭证</w:t>
      </w:r>
      <w:r>
        <w:rPr>
          <w:bCs/>
          <w:color w:val="000000" w:themeColor="text1"/>
          <w:szCs w:val="21"/>
          <w:highlight w:val="none"/>
          <w14:textFill>
            <w14:solidFill>
              <w14:schemeClr w14:val="tx1"/>
            </w14:solidFill>
          </w14:textFill>
        </w:rPr>
        <w:t xml:space="preserve">为一个成功销售案例，缺一不可。）；</w:t>
      </w:r>
      <w:r/>
    </w:p>
    <w:p>
      <w:pPr>
        <w:ind w:firstLine="420"/>
        <w:spacing w:after="0" w:line="360" w:lineRule="auto"/>
        <w:widowControl/>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投标供应商所提供的交货期在满足招标文件要求的基础上，每缩短5天加1分，本项最高得2分。</w:t>
      </w:r>
      <w:r/>
    </w:p>
    <w:p>
      <w:pPr>
        <w:numPr>
          <w:ilvl w:val="0"/>
          <w:numId w:val="5"/>
        </w:numPr>
        <w:ind w:firstLine="289"/>
        <w:spacing w:line="360" w:lineRule="auto"/>
        <w:tabs>
          <w:tab w:val="left" w:pos="426" w:leader="none"/>
        </w:tabs>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设备配置性能（36分）</w:t>
      </w:r>
      <w:r/>
    </w:p>
    <w:p>
      <w:pPr>
        <w:ind w:firstLine="420"/>
        <w:jc w:val="left"/>
        <w:spacing w:line="360" w:lineRule="auto"/>
        <w:tabs>
          <w:tab w:val="left" w:pos="0" w:leader="none"/>
          <w:tab w:val="left" w:pos="1401" w:leader="none"/>
        </w:tabs>
        <w:rPr>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color w:val="000000" w:themeColor="text1"/>
          <w14:textFill>
            <w14:solidFill>
              <w14:schemeClr w14:val="tx1"/>
            </w14:solidFill>
          </w14:textFill>
        </w:rPr>
        <w:t xml:space="preserve"> </w:t>
      </w:r>
      <w:r>
        <w:rPr>
          <w:color w:val="000000" w:themeColor="text1"/>
          <w:szCs w:val="21"/>
          <w14:textFill>
            <w14:solidFill>
              <w14:schemeClr w14:val="tx1"/>
            </w14:solidFill>
          </w14:textFill>
        </w:rPr>
        <w:t xml:space="preserve">技术符合评审（33分）：</w:t>
      </w:r>
      <w:r>
        <w:rPr>
          <w:bCs/>
          <w:color w:val="000000" w:themeColor="text1"/>
          <w:szCs w:val="21"/>
          <w14:textFill>
            <w14:solidFill>
              <w14:schemeClr w14:val="tx1"/>
            </w14:solidFill>
          </w14:textFill>
        </w:rPr>
        <w:t xml:space="preserve">投标设备的技术指标符合采购文件第四章要求的得基本分33分；标注“</w:t>
      </w:r>
      <w:r>
        <w:rPr>
          <w:rFonts w:hint="eastAsia" w:ascii="宋体" w:hAnsi="宋体" w:cs="宋体"/>
          <w:bCs/>
          <w:color w:val="000000" w:themeColor="text1"/>
          <w:szCs w:val="21"/>
          <w14:textFill>
            <w14:solidFill>
              <w14:schemeClr w14:val="tx1"/>
            </w14:solidFill>
          </w14:textFill>
        </w:rPr>
        <w:t xml:space="preserve">★</w:t>
      </w:r>
      <w:r>
        <w:rPr>
          <w:bCs/>
          <w:color w:val="000000" w:themeColor="text1"/>
          <w:szCs w:val="21"/>
          <w14:textFill>
            <w14:solidFill>
              <w14:schemeClr w14:val="tx1"/>
            </w14:solidFill>
          </w14:textFill>
        </w:rPr>
        <w:t xml:space="preserve">”的为实质性指标，必须满足；标注“▲”的为重要指标，每有一项负偏离减3分，超过3项技术符合评审不得分；其他每有一项负偏离减1分，本项得分扣完为止。</w:t>
      </w:r>
      <w:r/>
    </w:p>
    <w:p>
      <w:pPr>
        <w:ind w:firstLine="420"/>
        <w:jc w:val="left"/>
        <w:spacing w:line="360" w:lineRule="auto"/>
        <w:tabs>
          <w:tab w:val="left" w:pos="0" w:leader="none"/>
          <w:tab w:val="left" w:pos="1401" w:leader="none"/>
        </w:tabs>
        <w:rPr>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注：未在《技术规格偏离表》中响应的条款，视同负偏离；标注“</w:t>
      </w:r>
      <w:r>
        <w:rPr>
          <w:rFonts w:hint="eastAsia" w:ascii="宋体" w:hAnsi="宋体" w:cs="宋体"/>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的指标必须提供相应的有效证明电子件材料（如白皮书、设备生产厂家证明原件、彩页、手册、检测报告等材料）以证明技术参数及功能的有效性，如未附有效证明材料或者所附的证明材料由评标委员会认为不能佐证技术指标的有效性的，则同样视为负偏离。</w:t>
      </w:r>
      <w:r/>
    </w:p>
    <w:p>
      <w:pPr>
        <w:ind w:left="426"/>
        <w:jc w:val="left"/>
        <w:spacing w:line="384" w:lineRule="auto"/>
        <w:tabs>
          <w:tab w:val="left" w:pos="140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2)对产品选型、规格、设计的科学性、合理性、材质选用、制造工艺水平等进行评审。</w:t>
      </w:r>
      <w:r/>
    </w:p>
    <w:p>
      <w:pPr>
        <w:ind w:left="426"/>
        <w:jc w:val="left"/>
        <w:spacing w:line="384" w:lineRule="auto"/>
        <w:tabs>
          <w:tab w:val="left" w:pos="140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选型与采购用途完全匹配、设计科学合理、选用高新材料、制造能力优良得3分；</w:t>
      </w:r>
      <w:r/>
    </w:p>
    <w:p>
      <w:pPr>
        <w:ind w:left="426"/>
        <w:jc w:val="left"/>
        <w:spacing w:line="384" w:lineRule="auto"/>
        <w:tabs>
          <w:tab w:val="left" w:pos="140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选型与采购用途较为匹配、设计理念一般、选用常规材料、制造能力一般得2分；</w:t>
      </w:r>
      <w:r/>
    </w:p>
    <w:p>
      <w:pPr>
        <w:ind w:left="426"/>
        <w:jc w:val="left"/>
        <w:spacing w:line="384" w:lineRule="auto"/>
        <w:tabs>
          <w:tab w:val="left" w:pos="140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选型与采购用途不符、设计不合理、选材或制造水平较差得1分；</w:t>
      </w:r>
      <w:r/>
    </w:p>
    <w:p>
      <w:pPr>
        <w:numPr>
          <w:ilvl w:val="0"/>
          <w:numId w:val="5"/>
        </w:numPr>
        <w:ind w:firstLine="289"/>
        <w:spacing w:line="360" w:lineRule="auto"/>
        <w:tabs>
          <w:tab w:val="left" w:pos="426" w:leader="none"/>
        </w:tabs>
        <w:rPr>
          <w:b/>
          <w:bCs/>
          <w:color w:val="000000" w:themeColor="text1"/>
          <w:sz w:val="24"/>
          <w14:textFill>
            <w14:solidFill>
              <w14:schemeClr w14:val="tx1"/>
            </w14:solidFill>
          </w14:textFill>
        </w:rPr>
      </w:pPr>
      <w:r/>
      <w:bookmarkStart w:id="17" w:name="_Hlk104882544"/>
      <w:r>
        <w:rPr>
          <w:b/>
          <w:bCs/>
          <w:color w:val="000000" w:themeColor="text1"/>
          <w:sz w:val="24"/>
          <w14:textFill>
            <w14:solidFill>
              <w14:schemeClr w14:val="tx1"/>
            </w14:solidFill>
          </w14:textFill>
        </w:rPr>
        <w:t xml:space="preserve">售后服务（18分）</w:t>
      </w:r>
      <w:r/>
    </w:p>
    <w:p>
      <w:pPr>
        <w:ind w:firstLine="495"/>
        <w:spacing w:line="360" w:lineRule="auto"/>
        <w:rPr>
          <w:color w:val="000000" w:themeColor="text1"/>
          <w:szCs w:val="21"/>
          <w14:textFill>
            <w14:solidFill>
              <w14:schemeClr w14:val="tx1"/>
            </w14:solidFill>
          </w14:textFill>
        </w:rPr>
      </w:pPr>
      <w:r/>
      <w:bookmarkStart w:id="18" w:name="_Hlk104885026"/>
      <w:r>
        <w:rPr>
          <w:color w:val="000000" w:themeColor="text1"/>
          <w:szCs w:val="21"/>
          <w14:textFill>
            <w14:solidFill>
              <w14:schemeClr w14:val="tx1"/>
            </w14:solidFill>
          </w14:textFill>
        </w:rPr>
        <w:t xml:space="preserve">包括售后服务保障措施方案、售后服务优惠条件、合理化建议等，由投标供应商根据采购文件要求自行编制</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1）根据投标供应商提供的服务保障措施方案中是否有详尽的服务保障措施等情况由评委根据以上内容进行评分，满分8分。</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方案详细完整，针对性、科学性强，服务保障措施得当，得8分；方案较详细，针对性、科学性较强，服务保障措施较得当，得5分；方案简单，针对性、科学性一般，服务保障措施可行性不高，得3分。 </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其他售后服务优惠条件（除服务响应时间、交货期以外，如：免费质保期满后维保收费及内容、其零配件和维修备品备件的价格及供应保障，设备改造升级技术能力)由评标委员会评定为有利于采购人的售后服务优惠条件，由评委根据以上内容进行评分，满分8分；</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售后服务优惠条件详细完善，有利于采购人项目实施，得8分；售后服务优惠条件较详细完善，较有利于采购人项目实施，得5分；售后服务优惠条件较差或无其他售后服务优惠条件，得3分；</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3）投标供应商可以提供符合本项目需求的合理化建议，建议切实可操作，对项目成果有一定的帮助提升作用。由评委根据以上内容进行横向对比进行评分，满分2分。</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理化建议方案科学合理，可操作性强，对项目成果有帮助提升作用，得2分；合理化建议方案科学较合理，可操作性较强，对项目成果有较好的帮助提升作用，得1分；合理化建议方案不合理，无可操作性，对项目成果无帮助提升作用或未提供合理化建议方案，不得分。</w:t>
      </w:r>
      <w:r/>
    </w:p>
    <w:p>
      <w:pPr>
        <w:ind w:firstLine="420"/>
        <w:spacing w:after="0"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bookmarkEnd w:id="17"/>
      <w:r/>
      <w:bookmarkEnd w:id="18"/>
      <w:r/>
      <w:r/>
    </w:p>
    <w:p>
      <w:pPr>
        <w:numPr>
          <w:ilvl w:val="0"/>
          <w:numId w:val="5"/>
        </w:numPr>
        <w:ind w:firstLine="289"/>
        <w:spacing w:line="360" w:lineRule="auto"/>
        <w:tabs>
          <w:tab w:val="left" w:pos="426" w:leader="none"/>
        </w:tabs>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国家政策导向（2分）</w:t>
      </w:r>
      <w:r/>
    </w:p>
    <w:p>
      <w:pPr>
        <w:ind w:firstLine="495"/>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1）环境标志产品：投标产品有《环境标志产品政府采购品目清单》内产品，并提供参与实施政府采购环境标志产品认证机构出具的认证证书得1分。</w:t>
      </w:r>
      <w:r/>
    </w:p>
    <w:p>
      <w:pPr>
        <w:ind w:firstLine="495"/>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2）节能产品：投标产品有《节能产品政府采购品目清单》内产品，并提供参与实施政府采购节能产品认证机构出具的认证证书得1分。</w:t>
      </w:r>
      <w:r/>
    </w:p>
    <w:p>
      <w:pPr>
        <w:ind w:firstLine="422"/>
        <w:spacing w:after="0" w:line="20" w:lineRule="atLeast"/>
        <w:tabs>
          <w:tab w:val="left" w:pos="426"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pStyle w:val="1050"/>
        <w:spacing w:after="0" w:line="20" w:lineRule="atLeast"/>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p>
      <w:pPr>
        <w:pStyle w:val="936"/>
        <w:numPr>
          <w:ilvl w:val="0"/>
          <w:numId w:val="0"/>
        </w:numPr>
        <w:spacing w:line="276" w:lineRule="auto"/>
        <w:rPr>
          <w:sz w:val="24"/>
          <w:szCs w:val="22"/>
        </w:rPr>
      </w:pPr>
      <w:r>
        <w:rPr>
          <w:color w:val="000000" w:themeColor="text1"/>
          <w:sz w:val="21"/>
          <w:szCs w:val="21"/>
          <w14:textFill>
            <w14:solidFill>
              <w14:schemeClr w14:val="tx1"/>
            </w14:solidFill>
          </w14:textFill>
        </w:rPr>
        <w:br w:type="page" w:clear="all"/>
      </w:r>
      <w:bookmarkStart w:id="42" w:name="_GoBack"/>
      <w:r/>
      <w:bookmarkEnd w:id="42"/>
      <w:r/>
      <w:bookmarkStart w:id="19" w:name="_Toc481057146"/>
      <w:r/>
      <w:bookmarkStart w:id="20" w:name="_Toc177025988"/>
      <w:r/>
      <w:bookmarkStart w:id="21" w:name="_Toc481057147"/>
      <w:r>
        <w:rPr>
          <w:color w:val="000000" w:themeColor="text1"/>
          <w:sz w:val="28"/>
          <w:szCs w:val="28"/>
          <w14:textFill>
            <w14:solidFill>
              <w14:schemeClr w14:val="tx1"/>
            </w14:solidFill>
          </w14:textFill>
        </w:rPr>
        <w:t xml:space="preserve">第四章 </w:t>
      </w:r>
      <w:bookmarkEnd w:id="19"/>
      <w:r>
        <w:rPr>
          <w:color w:val="000000" w:themeColor="text1"/>
          <w:sz w:val="28"/>
          <w:szCs w:val="28"/>
          <w14:textFill>
            <w14:solidFill>
              <w14:schemeClr w14:val="tx1"/>
            </w14:solidFill>
          </w14:textFill>
        </w:rPr>
        <w:t xml:space="preserve">项目需求</w:t>
      </w:r>
      <w:bookmarkEnd w:id="20"/>
      <w:r/>
      <w:bookmarkStart w:id="22" w:name="_Toc177025989"/>
      <w:r/>
      <w:r/>
    </w:p>
    <w:p>
      <w:pPr>
        <w:pStyle w:val="988"/>
        <w:ind w:firstLine="422"/>
        <w:jc w:val="center"/>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rPr>
        <w:t xml:space="preserve">一批环境计量检测设备</w:t>
      </w:r>
      <w:r>
        <w:rPr>
          <w:rFonts w:ascii="Times New Roman" w:hAnsi="Times New Roman" w:eastAsia="宋体" w:cs="Times New Roman"/>
          <w:b/>
          <w:bCs/>
          <w:szCs w:val="21"/>
        </w:rPr>
        <w:t xml:space="preserve">采购项目</w:t>
      </w:r>
      <w:r/>
    </w:p>
    <w:p>
      <w:pPr>
        <w:contextualSpacing/>
        <w:ind w:firstLine="422"/>
        <w:jc w:val="left"/>
        <w:spacing w:line="360" w:lineRule="auto"/>
        <w:rPr>
          <w:b/>
          <w:bCs/>
          <w:szCs w:val="21"/>
        </w:rPr>
      </w:pPr>
      <w:r/>
      <w:bookmarkStart w:id="23" w:name="_Hlk6257390"/>
      <w:r>
        <w:rPr>
          <w:b/>
          <w:bCs/>
          <w:szCs w:val="21"/>
        </w:rPr>
        <w:t xml:space="preserve">（一）采购标的需实现的功能或者目标，以及为落实政府采购政策需满足的要求：</w:t>
      </w:r>
      <w:r/>
    </w:p>
    <w:p>
      <w:pPr>
        <w:ind w:firstLine="422"/>
        <w:jc w:val="left"/>
        <w:spacing w:line="360" w:lineRule="auto"/>
        <w:rPr>
          <w:bCs/>
          <w:szCs w:val="21"/>
        </w:rPr>
      </w:pPr>
      <w:r>
        <w:rPr>
          <w:b/>
          <w:szCs w:val="21"/>
        </w:rPr>
        <w:t xml:space="preserve">设备1：可燃气体探测器检测装置</w:t>
      </w:r>
      <w:r/>
    </w:p>
    <w:p>
      <w:pPr>
        <w:contextualSpacing/>
        <w:ind w:firstLine="787"/>
        <w:jc w:val="left"/>
        <w:spacing w:line="360" w:lineRule="auto"/>
        <w:rPr>
          <w:bCs/>
          <w:szCs w:val="21"/>
        </w:rPr>
      </w:pPr>
      <w:r>
        <w:rPr>
          <w:bCs/>
          <w:szCs w:val="21"/>
        </w:rPr>
        <w:t xml:space="preserve">1.采购设备名称：可燃气体探测器检测装置</w:t>
      </w:r>
      <w:r/>
    </w:p>
    <w:p>
      <w:pPr>
        <w:contextualSpacing/>
        <w:ind w:firstLine="787"/>
        <w:jc w:val="left"/>
        <w:spacing w:line="360" w:lineRule="auto"/>
        <w:rPr>
          <w:bCs/>
          <w:szCs w:val="21"/>
        </w:rPr>
      </w:pPr>
      <w:r>
        <w:rPr>
          <w:bCs/>
          <w:szCs w:val="21"/>
        </w:rPr>
        <w:t xml:space="preserve">2.预 算 价 格：93万元</w:t>
      </w:r>
      <w:r/>
    </w:p>
    <w:p>
      <w:pPr>
        <w:contextualSpacing/>
        <w:ind w:firstLine="787"/>
        <w:jc w:val="left"/>
        <w:spacing w:line="360" w:lineRule="auto"/>
        <w:rPr>
          <w:bCs/>
          <w:szCs w:val="21"/>
        </w:rPr>
      </w:pPr>
      <w:r>
        <w:rPr>
          <w:bCs/>
          <w:szCs w:val="21"/>
        </w:rPr>
        <w:t xml:space="preserve">3.供应商有无特定资格要求：无</w:t>
      </w:r>
      <w:r/>
    </w:p>
    <w:p>
      <w:pPr>
        <w:contextualSpacing/>
        <w:ind w:firstLine="787"/>
        <w:jc w:val="left"/>
        <w:spacing w:line="360" w:lineRule="auto"/>
        <w:rPr>
          <w:bCs/>
          <w:szCs w:val="21"/>
        </w:rPr>
      </w:pPr>
      <w:r>
        <w:rPr>
          <w:bCs/>
          <w:szCs w:val="21"/>
        </w:rPr>
        <w:t xml:space="preserve">4.是 否 进 口 产品：否</w:t>
      </w:r>
      <w:r/>
    </w:p>
    <w:p>
      <w:pPr>
        <w:contextualSpacing/>
        <w:ind w:firstLine="787"/>
        <w:jc w:val="left"/>
        <w:spacing w:line="360" w:lineRule="auto"/>
        <w:rPr>
          <w:bCs/>
          <w:szCs w:val="21"/>
        </w:rPr>
      </w:pPr>
      <w:r>
        <w:rPr>
          <w:bCs/>
          <w:szCs w:val="21"/>
        </w:rPr>
        <w:t xml:space="preserve">5.是否强制节能产品：否</w:t>
      </w:r>
      <w:r/>
    </w:p>
    <w:p>
      <w:pPr>
        <w:contextualSpacing/>
        <w:ind w:firstLine="787"/>
        <w:jc w:val="left"/>
        <w:spacing w:line="360" w:lineRule="auto"/>
        <w:rPr>
          <w:bCs/>
          <w:szCs w:val="21"/>
        </w:rPr>
      </w:pPr>
      <w:r>
        <w:rPr>
          <w:bCs/>
          <w:szCs w:val="21"/>
        </w:rPr>
        <w:t xml:space="preserve">6.是否安全信息产品：否</w:t>
      </w:r>
      <w:r/>
    </w:p>
    <w:p>
      <w:pPr>
        <w:ind w:firstLine="422"/>
        <w:jc w:val="left"/>
        <w:spacing w:line="360" w:lineRule="auto"/>
        <w:rPr>
          <w:bCs/>
          <w:szCs w:val="21"/>
        </w:rPr>
      </w:pPr>
      <w:r>
        <w:rPr>
          <w:b/>
          <w:szCs w:val="21"/>
        </w:rPr>
        <w:t xml:space="preserve">设备2：气溶胶发雾混匀装置</w:t>
      </w:r>
      <w:r/>
    </w:p>
    <w:p>
      <w:pPr>
        <w:contextualSpacing/>
        <w:ind w:firstLine="787"/>
        <w:jc w:val="left"/>
        <w:spacing w:line="360" w:lineRule="auto"/>
        <w:rPr>
          <w:bCs/>
          <w:szCs w:val="21"/>
        </w:rPr>
      </w:pPr>
      <w:r>
        <w:rPr>
          <w:bCs/>
          <w:szCs w:val="21"/>
        </w:rPr>
        <w:t xml:space="preserve">1.采购设备名称：气溶胶发雾混匀装置</w:t>
      </w:r>
      <w:r/>
    </w:p>
    <w:p>
      <w:pPr>
        <w:contextualSpacing/>
        <w:ind w:firstLine="787"/>
        <w:jc w:val="left"/>
        <w:spacing w:line="360" w:lineRule="auto"/>
        <w:rPr>
          <w:bCs/>
          <w:szCs w:val="21"/>
        </w:rPr>
      </w:pPr>
      <w:r>
        <w:rPr>
          <w:bCs/>
          <w:szCs w:val="21"/>
        </w:rPr>
        <w:t xml:space="preserve">2.预 算 价 格：21万元</w:t>
      </w:r>
      <w:r/>
    </w:p>
    <w:p>
      <w:pPr>
        <w:contextualSpacing/>
        <w:ind w:firstLine="787"/>
        <w:jc w:val="left"/>
        <w:spacing w:line="360" w:lineRule="auto"/>
        <w:rPr>
          <w:bCs/>
          <w:szCs w:val="21"/>
        </w:rPr>
      </w:pPr>
      <w:r>
        <w:rPr>
          <w:bCs/>
          <w:szCs w:val="21"/>
        </w:rPr>
        <w:t xml:space="preserve">3.供应商有无特定资格要求：无</w:t>
      </w:r>
      <w:r/>
    </w:p>
    <w:p>
      <w:pPr>
        <w:contextualSpacing/>
        <w:ind w:firstLine="787"/>
        <w:jc w:val="left"/>
        <w:spacing w:line="360" w:lineRule="auto"/>
        <w:rPr>
          <w:bCs/>
          <w:szCs w:val="21"/>
        </w:rPr>
      </w:pPr>
      <w:r>
        <w:rPr>
          <w:bCs/>
          <w:szCs w:val="21"/>
        </w:rPr>
        <w:t xml:space="preserve">4.是 否 进 口 产品：否</w:t>
      </w:r>
      <w:r/>
    </w:p>
    <w:p>
      <w:pPr>
        <w:contextualSpacing/>
        <w:ind w:firstLine="787"/>
        <w:jc w:val="left"/>
        <w:spacing w:line="360" w:lineRule="auto"/>
        <w:rPr>
          <w:bCs/>
          <w:szCs w:val="21"/>
        </w:rPr>
      </w:pPr>
      <w:r>
        <w:rPr>
          <w:bCs/>
          <w:szCs w:val="21"/>
        </w:rPr>
        <w:t xml:space="preserve">5.是否强制节能产品：否</w:t>
      </w:r>
      <w:r/>
    </w:p>
    <w:p>
      <w:pPr>
        <w:contextualSpacing/>
        <w:ind w:firstLine="787"/>
        <w:jc w:val="left"/>
        <w:spacing w:line="360" w:lineRule="auto"/>
        <w:rPr>
          <w:bCs/>
          <w:szCs w:val="21"/>
        </w:rPr>
      </w:pPr>
      <w:r>
        <w:rPr>
          <w:bCs/>
          <w:szCs w:val="21"/>
        </w:rPr>
        <w:t xml:space="preserve">6.是否安全信息产品：否</w:t>
      </w:r>
      <w:r/>
    </w:p>
    <w:p>
      <w:pPr>
        <w:ind w:firstLine="422"/>
        <w:jc w:val="left"/>
        <w:spacing w:line="360" w:lineRule="auto"/>
        <w:rPr>
          <w:b/>
          <w:szCs w:val="21"/>
        </w:rPr>
      </w:pPr>
      <w:r>
        <w:rPr>
          <w:b/>
          <w:szCs w:val="21"/>
        </w:rPr>
        <w:t xml:space="preserve">设备3：精密气溶胶光度计</w:t>
      </w:r>
      <w:r/>
    </w:p>
    <w:p>
      <w:pPr>
        <w:contextualSpacing/>
        <w:ind w:firstLine="787"/>
        <w:jc w:val="left"/>
        <w:spacing w:line="360" w:lineRule="auto"/>
        <w:rPr>
          <w:bCs/>
          <w:szCs w:val="21"/>
        </w:rPr>
      </w:pPr>
      <w:r>
        <w:rPr>
          <w:bCs/>
          <w:szCs w:val="21"/>
        </w:rPr>
        <w:t xml:space="preserve">1.采购设备名称：精密气溶胶光度计</w:t>
      </w:r>
      <w:r/>
    </w:p>
    <w:p>
      <w:pPr>
        <w:contextualSpacing/>
        <w:ind w:firstLine="787"/>
        <w:jc w:val="left"/>
        <w:spacing w:line="360" w:lineRule="auto"/>
        <w:rPr>
          <w:bCs/>
          <w:szCs w:val="21"/>
        </w:rPr>
      </w:pPr>
      <w:r>
        <w:rPr>
          <w:bCs/>
          <w:szCs w:val="21"/>
        </w:rPr>
        <w:t xml:space="preserve">2.预 算 价 格：13万元</w:t>
      </w:r>
      <w:r/>
    </w:p>
    <w:p>
      <w:pPr>
        <w:contextualSpacing/>
        <w:ind w:firstLine="787"/>
        <w:jc w:val="left"/>
        <w:spacing w:line="360" w:lineRule="auto"/>
        <w:rPr>
          <w:bCs/>
          <w:szCs w:val="21"/>
        </w:rPr>
      </w:pPr>
      <w:r>
        <w:rPr>
          <w:bCs/>
          <w:szCs w:val="21"/>
        </w:rPr>
        <w:t xml:space="preserve">3.供应商有无特定资格要求：无</w:t>
      </w:r>
      <w:r/>
    </w:p>
    <w:p>
      <w:pPr>
        <w:contextualSpacing/>
        <w:ind w:firstLine="787"/>
        <w:jc w:val="left"/>
        <w:spacing w:line="360" w:lineRule="auto"/>
        <w:rPr>
          <w:bCs/>
          <w:szCs w:val="21"/>
        </w:rPr>
      </w:pPr>
      <w:r>
        <w:rPr>
          <w:bCs/>
          <w:szCs w:val="21"/>
        </w:rPr>
        <w:t xml:space="preserve">4.是 否 进 口 产品：否</w:t>
      </w:r>
      <w:r/>
    </w:p>
    <w:p>
      <w:pPr>
        <w:contextualSpacing/>
        <w:ind w:firstLine="787"/>
        <w:jc w:val="left"/>
        <w:spacing w:line="360" w:lineRule="auto"/>
        <w:rPr>
          <w:bCs/>
          <w:szCs w:val="21"/>
        </w:rPr>
      </w:pPr>
      <w:r>
        <w:rPr>
          <w:bCs/>
          <w:szCs w:val="21"/>
        </w:rPr>
        <w:t xml:space="preserve">5.是否强制节能产品：否</w:t>
      </w:r>
      <w:r/>
    </w:p>
    <w:p>
      <w:pPr>
        <w:contextualSpacing/>
        <w:ind w:firstLine="787"/>
        <w:jc w:val="left"/>
        <w:spacing w:line="360" w:lineRule="auto"/>
        <w:rPr>
          <w:b/>
          <w:szCs w:val="21"/>
        </w:rPr>
      </w:pPr>
      <w:r>
        <w:rPr>
          <w:bCs/>
          <w:szCs w:val="21"/>
        </w:rPr>
        <w:t xml:space="preserve">6.是否安全信息产品：否</w:t>
      </w:r>
      <w:r/>
    </w:p>
    <w:p>
      <w:pPr>
        <w:ind w:firstLine="422"/>
        <w:jc w:val="left"/>
        <w:spacing w:line="360" w:lineRule="auto"/>
        <w:rPr>
          <w:b/>
          <w:szCs w:val="21"/>
        </w:rPr>
      </w:pPr>
      <w:r>
        <w:rPr>
          <w:b/>
          <w:szCs w:val="21"/>
        </w:rPr>
        <w:t xml:space="preserve">设备4：便携式流量压力校准装置</w:t>
      </w:r>
      <w:r/>
    </w:p>
    <w:p>
      <w:pPr>
        <w:contextualSpacing/>
        <w:ind w:firstLine="787"/>
        <w:jc w:val="left"/>
        <w:spacing w:line="360" w:lineRule="auto"/>
        <w:rPr>
          <w:bCs/>
          <w:szCs w:val="21"/>
        </w:rPr>
      </w:pPr>
      <w:r>
        <w:rPr>
          <w:bCs/>
          <w:szCs w:val="21"/>
        </w:rPr>
        <w:t xml:space="preserve">1.采购设备名称：便携式流量压力校准装置</w:t>
      </w:r>
      <w:r/>
    </w:p>
    <w:p>
      <w:pPr>
        <w:contextualSpacing/>
        <w:ind w:firstLine="787"/>
        <w:jc w:val="left"/>
        <w:spacing w:line="360" w:lineRule="auto"/>
        <w:rPr>
          <w:bCs/>
          <w:szCs w:val="21"/>
        </w:rPr>
      </w:pPr>
      <w:r>
        <w:rPr>
          <w:bCs/>
          <w:szCs w:val="21"/>
        </w:rPr>
        <w:t xml:space="preserve">2.预 算 价 格：2.5万元</w:t>
      </w:r>
      <w:r/>
    </w:p>
    <w:p>
      <w:pPr>
        <w:contextualSpacing/>
        <w:ind w:firstLine="787"/>
        <w:jc w:val="left"/>
        <w:spacing w:line="360" w:lineRule="auto"/>
        <w:rPr>
          <w:bCs/>
          <w:szCs w:val="21"/>
        </w:rPr>
      </w:pPr>
      <w:r>
        <w:rPr>
          <w:bCs/>
          <w:szCs w:val="21"/>
        </w:rPr>
        <w:t xml:space="preserve">3.供应商有无特定资格要求：无</w:t>
      </w:r>
      <w:r/>
    </w:p>
    <w:p>
      <w:pPr>
        <w:contextualSpacing/>
        <w:ind w:firstLine="787"/>
        <w:jc w:val="left"/>
        <w:spacing w:line="360" w:lineRule="auto"/>
        <w:rPr>
          <w:bCs/>
          <w:szCs w:val="21"/>
        </w:rPr>
      </w:pPr>
      <w:r>
        <w:rPr>
          <w:bCs/>
          <w:szCs w:val="21"/>
        </w:rPr>
        <w:t xml:space="preserve">4.是 否 进 口 产品：否</w:t>
      </w:r>
      <w:r/>
    </w:p>
    <w:p>
      <w:pPr>
        <w:contextualSpacing/>
        <w:ind w:firstLine="787"/>
        <w:jc w:val="left"/>
        <w:spacing w:line="360" w:lineRule="auto"/>
        <w:rPr>
          <w:bCs/>
          <w:szCs w:val="21"/>
        </w:rPr>
      </w:pPr>
      <w:r>
        <w:rPr>
          <w:bCs/>
          <w:szCs w:val="21"/>
        </w:rPr>
        <w:t xml:space="preserve">5.是否强制节能产品：否</w:t>
      </w:r>
      <w:r/>
    </w:p>
    <w:p>
      <w:pPr>
        <w:ind w:firstLine="840"/>
        <w:jc w:val="left"/>
        <w:spacing w:line="360" w:lineRule="auto"/>
        <w:rPr>
          <w:b/>
          <w:szCs w:val="21"/>
        </w:rPr>
      </w:pPr>
      <w:r>
        <w:rPr>
          <w:bCs/>
          <w:szCs w:val="21"/>
        </w:rPr>
        <w:t xml:space="preserve">6.是否安全信息产品：否</w:t>
      </w:r>
      <w:r/>
    </w:p>
    <w:p>
      <w:pPr>
        <w:ind w:firstLine="422"/>
        <w:jc w:val="left"/>
        <w:spacing w:line="360" w:lineRule="auto"/>
        <w:rPr>
          <w:b/>
          <w:szCs w:val="21"/>
        </w:rPr>
      </w:pPr>
      <w:r>
        <w:rPr>
          <w:b/>
          <w:szCs w:val="21"/>
        </w:rPr>
        <w:t xml:space="preserve">设备5：高低温湿热试验箱</w:t>
      </w:r>
      <w:r/>
    </w:p>
    <w:p>
      <w:pPr>
        <w:contextualSpacing/>
        <w:ind w:firstLine="787"/>
        <w:jc w:val="left"/>
        <w:spacing w:line="360" w:lineRule="auto"/>
        <w:rPr>
          <w:bCs/>
          <w:szCs w:val="21"/>
        </w:rPr>
      </w:pPr>
      <w:r>
        <w:rPr>
          <w:bCs/>
          <w:szCs w:val="21"/>
        </w:rPr>
        <w:t xml:space="preserve">1.采购设备名称：高低温湿热试验箱</w:t>
      </w:r>
      <w:r/>
    </w:p>
    <w:p>
      <w:pPr>
        <w:contextualSpacing/>
        <w:ind w:firstLine="787"/>
        <w:jc w:val="left"/>
        <w:spacing w:line="360" w:lineRule="auto"/>
        <w:rPr>
          <w:bCs/>
          <w:szCs w:val="21"/>
        </w:rPr>
      </w:pPr>
      <w:r>
        <w:rPr>
          <w:bCs/>
          <w:szCs w:val="21"/>
        </w:rPr>
        <w:t xml:space="preserve">2.预 算 价 格：21万元</w:t>
      </w:r>
      <w:r/>
    </w:p>
    <w:p>
      <w:pPr>
        <w:contextualSpacing/>
        <w:ind w:firstLine="787"/>
        <w:jc w:val="left"/>
        <w:spacing w:line="360" w:lineRule="auto"/>
        <w:rPr>
          <w:bCs/>
          <w:szCs w:val="21"/>
        </w:rPr>
      </w:pPr>
      <w:r>
        <w:rPr>
          <w:bCs/>
          <w:szCs w:val="21"/>
        </w:rPr>
        <w:t xml:space="preserve">3.供应商有无特定资格要求：无</w:t>
      </w:r>
      <w:r/>
    </w:p>
    <w:p>
      <w:pPr>
        <w:contextualSpacing/>
        <w:ind w:firstLine="787"/>
        <w:jc w:val="left"/>
        <w:spacing w:line="360" w:lineRule="auto"/>
        <w:rPr>
          <w:bCs/>
          <w:szCs w:val="21"/>
        </w:rPr>
      </w:pPr>
      <w:r>
        <w:rPr>
          <w:bCs/>
          <w:szCs w:val="21"/>
        </w:rPr>
        <w:t xml:space="preserve">4.是 否 进 口 产品：否</w:t>
      </w:r>
      <w:r/>
    </w:p>
    <w:p>
      <w:pPr>
        <w:contextualSpacing/>
        <w:ind w:firstLine="787"/>
        <w:jc w:val="left"/>
        <w:spacing w:line="360" w:lineRule="auto"/>
        <w:rPr>
          <w:bCs/>
          <w:szCs w:val="21"/>
        </w:rPr>
      </w:pPr>
      <w:r>
        <w:rPr>
          <w:bCs/>
          <w:szCs w:val="21"/>
        </w:rPr>
        <w:t xml:space="preserve">5.是否强制节能产品：否</w:t>
      </w:r>
      <w:r/>
    </w:p>
    <w:p>
      <w:pPr>
        <w:contextualSpacing/>
        <w:ind w:firstLine="787"/>
        <w:jc w:val="left"/>
        <w:spacing w:line="360" w:lineRule="auto"/>
        <w:rPr>
          <w:b/>
          <w:szCs w:val="21"/>
        </w:rPr>
      </w:pPr>
      <w:r>
        <w:rPr>
          <w:bCs/>
          <w:szCs w:val="21"/>
        </w:rPr>
        <w:t xml:space="preserve">6.是否安全信息产品：否</w:t>
      </w:r>
      <w:r/>
    </w:p>
    <w:p>
      <w:pPr>
        <w:contextualSpacing/>
        <w:jc w:val="left"/>
        <w:spacing w:line="360" w:lineRule="auto"/>
        <w:rPr>
          <w:bCs/>
          <w:szCs w:val="21"/>
        </w:rPr>
      </w:pPr>
      <w:r>
        <w:rPr>
          <w:bCs/>
          <w:szCs w:val="21"/>
        </w:rPr>
      </w:r>
      <w:r/>
    </w:p>
    <w:p>
      <w:pPr>
        <w:contextualSpacing/>
        <w:ind w:firstLine="422"/>
        <w:spacing w:line="360" w:lineRule="auto"/>
        <w:rPr>
          <w:szCs w:val="21"/>
        </w:rPr>
      </w:pPr>
      <w:r>
        <w:rPr>
          <w:b/>
          <w:bCs/>
          <w:szCs w:val="21"/>
        </w:rPr>
        <w:t xml:space="preserve">（二）采购标的需执行的国家相关标准、行业标准、地方标准或者其他标准、规范：</w:t>
      </w:r>
      <w:r/>
    </w:p>
    <w:p>
      <w:pPr>
        <w:contextualSpacing/>
        <w:ind w:firstLine="630"/>
        <w:spacing w:line="360" w:lineRule="auto"/>
        <w:rPr>
          <w:szCs w:val="21"/>
        </w:rPr>
      </w:pPr>
      <w:r>
        <w:rPr>
          <w:szCs w:val="21"/>
        </w:rPr>
        <w:t xml:space="preserve">GB15322.1-2019可燃气体探测器 第1部分：工业及商业用途点型可燃气体探测器</w:t>
      </w:r>
      <w:r/>
    </w:p>
    <w:p>
      <w:pPr>
        <w:contextualSpacing/>
        <w:ind w:firstLine="630"/>
        <w:spacing w:line="360" w:lineRule="auto"/>
        <w:rPr>
          <w:szCs w:val="21"/>
        </w:rPr>
      </w:pPr>
      <w:r>
        <w:rPr>
          <w:szCs w:val="21"/>
        </w:rPr>
        <w:t xml:space="preserve">GB15322.2-2019可燃气体探测器 第2部分：家用可燃气体探测器</w:t>
      </w:r>
      <w:r/>
    </w:p>
    <w:p>
      <w:pPr>
        <w:contextualSpacing/>
        <w:ind w:firstLine="630"/>
        <w:spacing w:line="360" w:lineRule="auto"/>
        <w:rPr>
          <w:szCs w:val="21"/>
        </w:rPr>
      </w:pPr>
      <w:r>
        <w:rPr>
          <w:szCs w:val="21"/>
        </w:rPr>
        <w:t xml:space="preserve">GB15322.3-2019可燃气体探测器 第3部分：工业及商业用途便携式可燃气体探测器</w:t>
      </w:r>
      <w:r/>
    </w:p>
    <w:p>
      <w:pPr>
        <w:contextualSpacing/>
        <w:ind w:firstLine="630"/>
        <w:spacing w:line="360" w:lineRule="auto"/>
        <w:rPr>
          <w:szCs w:val="21"/>
        </w:rPr>
      </w:pPr>
      <w:r>
        <w:rPr>
          <w:szCs w:val="21"/>
        </w:rPr>
        <w:t xml:space="preserve">JJF 1800-2020气溶胶光度计校准规范</w:t>
      </w:r>
      <w:r/>
    </w:p>
    <w:p>
      <w:pPr>
        <w:contextualSpacing/>
        <w:ind w:firstLine="630"/>
        <w:spacing w:line="360" w:lineRule="auto"/>
        <w:rPr>
          <w:color w:val="000000"/>
          <w:szCs w:val="21"/>
          <w:shd w:val="clear" w:color="auto" w:fill="fdfcfb"/>
        </w:rPr>
      </w:pPr>
      <w:r>
        <w:rPr>
          <w:color w:val="000000"/>
          <w:szCs w:val="21"/>
          <w:shd w:val="clear" w:color="auto" w:fill="fdfcfb"/>
        </w:rPr>
        <w:t xml:space="preserve">JJF 1368-2012可燃气体检测报警器型式评价大纲</w:t>
      </w:r>
      <w:r/>
    </w:p>
    <w:p>
      <w:pPr>
        <w:contextualSpacing/>
        <w:ind w:firstLine="630"/>
        <w:spacing w:line="360" w:lineRule="auto"/>
        <w:rPr>
          <w:color w:val="000000"/>
          <w:szCs w:val="21"/>
          <w:shd w:val="clear" w:color="auto" w:fill="fdfcfb"/>
        </w:rPr>
      </w:pPr>
      <w:r>
        <w:rPr>
          <w:color w:val="000000"/>
          <w:szCs w:val="21"/>
          <w:shd w:val="clear" w:color="auto" w:fill="fdfcfb"/>
        </w:rPr>
        <w:t xml:space="preserve">JJF 1421-2013一氧化碳检测报警器型式评价大纲</w:t>
      </w:r>
      <w:r/>
    </w:p>
    <w:p>
      <w:pPr>
        <w:contextualSpacing/>
        <w:spacing w:line="360" w:lineRule="auto"/>
        <w:rPr>
          <w:color w:val="000000"/>
          <w:szCs w:val="21"/>
          <w:shd w:val="clear" w:color="auto" w:fill="fdfcfb"/>
        </w:rPr>
      </w:pPr>
      <w:r>
        <w:rPr>
          <w:szCs w:val="21"/>
        </w:rPr>
        <w:t xml:space="preserve">      JJF 1363-2019</w:t>
      </w:r>
      <w:r>
        <w:rPr>
          <w:color w:val="000000"/>
          <w:szCs w:val="21"/>
          <w:shd w:val="clear" w:color="auto" w:fill="fdfcfb"/>
        </w:rPr>
        <w:t xml:space="preserve">硫化氢气体检测仪型式评价大纲</w:t>
      </w:r>
      <w:r/>
    </w:p>
    <w:p>
      <w:pPr>
        <w:contextualSpacing/>
        <w:ind w:firstLine="630"/>
        <w:spacing w:line="360" w:lineRule="auto"/>
        <w:rPr>
          <w:color w:val="000000"/>
          <w:szCs w:val="21"/>
          <w:shd w:val="clear" w:color="auto" w:fill="fdfcfb"/>
        </w:rPr>
      </w:pPr>
      <w:r>
        <w:rPr>
          <w:color w:val="000000"/>
          <w:szCs w:val="21"/>
          <w:shd w:val="clear" w:color="auto" w:fill="fdfcfb"/>
        </w:rPr>
        <w:t xml:space="preserve">JJF 1364-2012二氧化硫气体检测仪型式评价大纲</w:t>
      </w:r>
      <w:r/>
    </w:p>
    <w:p>
      <w:pPr>
        <w:keepLines/>
        <w:keepNext/>
        <w:spacing w:line="360" w:lineRule="auto"/>
        <w:rPr>
          <w:szCs w:val="21"/>
        </w:rPr>
      </w:pPr>
      <w:r>
        <w:rPr>
          <w:szCs w:val="21"/>
        </w:rPr>
      </w:r>
      <w:r/>
    </w:p>
    <w:p>
      <w:pPr>
        <w:rPr>
          <w:b/>
          <w:bCs/>
          <w:szCs w:val="21"/>
        </w:rPr>
      </w:pPr>
      <w:r>
        <w:rPr>
          <w:b/>
          <w:bCs/>
          <w:szCs w:val="21"/>
        </w:rPr>
        <w:br w:type="page" w:clear="all"/>
      </w:r>
      <w:r/>
    </w:p>
    <w:p>
      <w:pPr>
        <w:contextualSpacing/>
        <w:ind w:firstLine="422"/>
        <w:spacing w:line="360" w:lineRule="auto"/>
        <w:rPr>
          <w:b/>
          <w:bCs/>
          <w:szCs w:val="21"/>
        </w:rPr>
      </w:pPr>
      <w:r>
        <w:rPr>
          <w:b/>
          <w:bCs/>
          <w:szCs w:val="21"/>
        </w:rPr>
        <w:t xml:space="preserve">（三）采购标的需满足的质量、安全、技术规格、物理特性等要求：</w:t>
      </w:r>
      <w:r/>
    </w:p>
    <w:p>
      <w:pPr>
        <w:ind w:firstLine="422"/>
        <w:jc w:val="left"/>
        <w:spacing w:line="360" w:lineRule="auto"/>
        <w:rPr>
          <w:bCs/>
          <w:szCs w:val="21"/>
        </w:rPr>
      </w:pPr>
      <w:r>
        <w:rPr>
          <w:b/>
          <w:szCs w:val="21"/>
        </w:rPr>
        <w:t xml:space="preserve">1、可燃气体探测器检测装置</w:t>
      </w:r>
      <w:r/>
    </w:p>
    <w:p>
      <w:pPr>
        <w:ind w:firstLine="420"/>
        <w:jc w:val="left"/>
        <w:spacing w:line="360" w:lineRule="auto"/>
        <w:rPr>
          <w:szCs w:val="21"/>
        </w:rPr>
      </w:pPr>
      <w:r>
        <w:rPr>
          <w:szCs w:val="21"/>
          <w:lang w:val="it-IT"/>
        </w:rPr>
        <w:t xml:space="preserve">1</w:t>
      </w:r>
      <w:r>
        <w:rPr>
          <w:szCs w:val="21"/>
        </w:rPr>
        <w:t xml:space="preserve">.1</w:t>
      </w:r>
      <w:r>
        <w:rPr>
          <w:szCs w:val="21"/>
          <w:lang w:val="it-IT"/>
        </w:rPr>
        <w:t xml:space="preserve">可燃气体探测器高低温、湿热试验箱</w:t>
      </w:r>
      <w:r>
        <w:rPr>
          <w:szCs w:val="21"/>
        </w:rPr>
        <w:t xml:space="preserve">要求</w:t>
      </w:r>
      <w:r/>
    </w:p>
    <w:p>
      <w:pPr>
        <w:ind w:firstLine="420"/>
        <w:jc w:val="left"/>
        <w:spacing w:line="360" w:lineRule="auto"/>
        <w:rPr>
          <w:szCs w:val="21"/>
        </w:rPr>
      </w:pPr>
      <w:r>
        <w:rPr>
          <w:szCs w:val="21"/>
        </w:rPr>
        <w:t xml:space="preserve">★1.1.1</w:t>
      </w:r>
      <w:r>
        <w:rPr>
          <w:szCs w:val="21"/>
          <w:lang w:val="it-IT"/>
        </w:rPr>
        <w:t xml:space="preserve">可燃气体探测器高低温、湿热试验箱</w:t>
      </w:r>
      <w:r>
        <w:rPr>
          <w:szCs w:val="21"/>
        </w:rPr>
        <w:t xml:space="preserve">外观功能区分如示意图所示：</w:t>
      </w:r>
      <w:r/>
    </w:p>
    <w:p>
      <w:pPr>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-207645</wp:posOffset>
                </wp:positionH>
                <wp:positionV relativeFrom="paragraph">
                  <wp:posOffset>217805</wp:posOffset>
                </wp:positionV>
                <wp:extent cx="5770245" cy="3207385"/>
                <wp:effectExtent l="0" t="0" r="8255" b="571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770245" cy="320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6.3pt;mso-position-horizontal:absolute;mso-position-vertical-relative:text;margin-top:17.1pt;mso-position-vertical:absolute;width:454.3pt;height:252.5pt;mso-wrap-distance-left:9.0pt;mso-wrap-distance-top:0.0pt;mso-wrap-distance-right:9.0pt;mso-wrap-distance-bottom:0.0pt;" stroked="f">
                <v:path textboxrect="0,0,0,0"/>
                <w10:wrap type="square"/>
                <v:imagedata r:id="rId15" o:title=""/>
              </v:shape>
            </w:pict>
          </mc:Fallback>
        </mc:AlternateContent>
      </w:r>
      <w:r/>
    </w:p>
    <w:p>
      <w:pPr>
        <w:ind w:firstLine="420"/>
        <w:jc w:val="left"/>
        <w:spacing w:line="360" w:lineRule="auto"/>
        <w:rPr>
          <w:rFonts w:ascii="宋体" w:hAnsi="宋体"/>
          <w:szCs w:val="21"/>
        </w:rPr>
      </w:pPr>
      <w:r>
        <w:rPr>
          <w:szCs w:val="21"/>
        </w:rPr>
        <w:t xml:space="preserve">说</w:t>
      </w:r>
      <w:r>
        <w:rPr>
          <w:rFonts w:ascii="宋体" w:hAnsi="宋体"/>
          <w:szCs w:val="21"/>
        </w:rPr>
        <w:t xml:space="preserve">明:</w:t>
      </w:r>
      <w:r/>
    </w:p>
    <w:p>
      <w:pPr>
        <w:ind w:firstLine="420"/>
        <w:jc w:val="left"/>
        <w:spacing w:line="360" w:lineRule="auto"/>
        <w:rPr>
          <w:rFonts w:ascii="宋体" w:hAnsi="宋体"/>
          <w:szCs w:val="21"/>
        </w:rPr>
      </w:pPr>
      <w:r>
        <w:rPr>
          <w:rFonts w:ascii="宋体" w:hAnsi="宋体"/>
          <w:szCs w:val="21"/>
        </w:rPr>
        <w:t xml:space="preserve">1——风筒；</w:t>
      </w:r>
      <w:r/>
    </w:p>
    <w:p>
      <w:pPr>
        <w:ind w:firstLine="420"/>
        <w:jc w:val="left"/>
        <w:spacing w:line="360" w:lineRule="auto"/>
        <w:rPr>
          <w:rFonts w:ascii="宋体" w:hAnsi="宋体"/>
          <w:szCs w:val="21"/>
        </w:rPr>
      </w:pPr>
      <w:r>
        <w:rPr>
          <w:rFonts w:ascii="宋体" w:hAnsi="宋体"/>
          <w:szCs w:val="21"/>
        </w:rPr>
        <w:t xml:space="preserve">2——涡流机；</w:t>
      </w:r>
      <w:r/>
    </w:p>
    <w:p>
      <w:pPr>
        <w:ind w:firstLine="420"/>
        <w:jc w:val="left"/>
        <w:spacing w:line="360" w:lineRule="auto"/>
        <w:rPr>
          <w:rFonts w:ascii="宋体" w:hAnsi="宋体"/>
          <w:szCs w:val="21"/>
        </w:rPr>
      </w:pPr>
      <w:r>
        <w:rPr>
          <w:rFonts w:ascii="宋体" w:hAnsi="宋体"/>
          <w:szCs w:val="21"/>
        </w:rPr>
        <w:t xml:space="preserve">3、4——电机；</w:t>
      </w:r>
      <w:r/>
    </w:p>
    <w:p>
      <w:pPr>
        <w:ind w:firstLine="420"/>
        <w:jc w:val="left"/>
        <w:spacing w:line="360" w:lineRule="auto"/>
        <w:rPr>
          <w:rFonts w:ascii="宋体" w:hAnsi="宋体"/>
          <w:szCs w:val="21"/>
        </w:rPr>
      </w:pPr>
      <w:r>
        <w:rPr>
          <w:rFonts w:ascii="宋体" w:hAnsi="宋体"/>
          <w:szCs w:val="21"/>
        </w:rPr>
        <w:t xml:space="preserve">5——导流板；</w:t>
      </w:r>
      <w:r/>
    </w:p>
    <w:p>
      <w:pPr>
        <w:ind w:firstLine="420"/>
        <w:jc w:val="left"/>
        <w:spacing w:line="360" w:lineRule="auto"/>
        <w:rPr>
          <w:rFonts w:ascii="宋体" w:hAnsi="宋体"/>
          <w:szCs w:val="21"/>
        </w:rPr>
      </w:pPr>
      <w:r>
        <w:rPr>
          <w:rFonts w:ascii="宋体" w:hAnsi="宋体"/>
          <w:szCs w:val="21"/>
        </w:rPr>
        <w:t xml:space="preserve">6——整流栅；</w:t>
      </w:r>
      <w:r/>
    </w:p>
    <w:p>
      <w:pPr>
        <w:ind w:firstLine="420"/>
        <w:jc w:val="left"/>
        <w:spacing w:line="360" w:lineRule="auto"/>
        <w:rPr>
          <w:rFonts w:ascii="宋体" w:hAnsi="宋体"/>
          <w:szCs w:val="21"/>
        </w:rPr>
      </w:pPr>
      <w:r>
        <w:rPr>
          <w:rFonts w:ascii="宋体" w:hAnsi="宋体"/>
          <w:szCs w:val="21"/>
        </w:rPr>
        <w:t xml:space="preserve">7——进风门；</w:t>
      </w:r>
      <w:r/>
    </w:p>
    <w:p>
      <w:pPr>
        <w:ind w:firstLine="420"/>
        <w:jc w:val="left"/>
        <w:spacing w:line="360" w:lineRule="auto"/>
        <w:rPr>
          <w:rFonts w:ascii="宋体" w:hAnsi="宋体"/>
          <w:szCs w:val="21"/>
        </w:rPr>
      </w:pPr>
      <w:r>
        <w:rPr>
          <w:rFonts w:ascii="宋体" w:hAnsi="宋体"/>
          <w:szCs w:val="21"/>
        </w:rPr>
        <w:t xml:space="preserve">8——排气门；</w:t>
      </w:r>
      <w:r/>
    </w:p>
    <w:p>
      <w:pPr>
        <w:ind w:firstLine="420"/>
        <w:jc w:val="left"/>
        <w:spacing w:line="360" w:lineRule="auto"/>
        <w:rPr>
          <w:rFonts w:ascii="宋体" w:hAnsi="宋体"/>
          <w:szCs w:val="21"/>
        </w:rPr>
      </w:pPr>
      <w:r>
        <w:rPr>
          <w:rFonts w:ascii="宋体" w:hAnsi="宋体"/>
          <w:szCs w:val="21"/>
        </w:rPr>
        <w:t xml:space="preserve">9——蒸发器；</w:t>
      </w:r>
      <w:r/>
    </w:p>
    <w:p>
      <w:pPr>
        <w:ind w:firstLine="420"/>
        <w:jc w:val="left"/>
        <w:spacing w:line="360" w:lineRule="auto"/>
        <w:rPr>
          <w:rFonts w:ascii="宋体" w:hAnsi="宋体"/>
          <w:szCs w:val="21"/>
        </w:rPr>
      </w:pPr>
      <w:r>
        <w:rPr>
          <w:rFonts w:ascii="宋体" w:hAnsi="宋体"/>
          <w:szCs w:val="21"/>
        </w:rPr>
        <w:t xml:space="preserve">10——加热器；</w:t>
      </w:r>
      <w:r/>
    </w:p>
    <w:p>
      <w:pPr>
        <w:ind w:firstLine="420"/>
        <w:jc w:val="left"/>
        <w:spacing w:line="360" w:lineRule="auto"/>
        <w:rPr>
          <w:rFonts w:ascii="宋体" w:hAnsi="宋体"/>
          <w:szCs w:val="21"/>
        </w:rPr>
      </w:pPr>
      <w:r>
        <w:rPr>
          <w:rFonts w:ascii="宋体" w:hAnsi="宋体"/>
          <w:szCs w:val="21"/>
        </w:rPr>
        <w:t xml:space="preserve">11——可燃气体探测器；</w:t>
      </w:r>
      <w:r/>
    </w:p>
    <w:p>
      <w:pPr>
        <w:ind w:firstLine="420"/>
        <w:jc w:val="left"/>
        <w:spacing w:line="360" w:lineRule="auto"/>
        <w:rPr>
          <w:rFonts w:ascii="宋体" w:hAnsi="宋体"/>
          <w:szCs w:val="21"/>
        </w:rPr>
      </w:pPr>
      <w:r>
        <w:rPr>
          <w:rFonts w:ascii="宋体" w:hAnsi="宋体"/>
          <w:szCs w:val="21"/>
        </w:rPr>
        <w:t xml:space="preserve">12——可燃气体入口；</w:t>
      </w:r>
      <w:r/>
    </w:p>
    <w:p>
      <w:pPr>
        <w:ind w:firstLine="420"/>
        <w:jc w:val="left"/>
        <w:spacing w:line="360" w:lineRule="auto"/>
        <w:rPr>
          <w:rFonts w:ascii="宋体" w:hAnsi="宋体"/>
          <w:szCs w:val="21"/>
        </w:rPr>
      </w:pPr>
      <w:r>
        <w:rPr>
          <w:rFonts w:ascii="宋体" w:hAnsi="宋体"/>
          <w:szCs w:val="21"/>
        </w:rPr>
        <w:t xml:space="preserve">13——气体分析仪；</w:t>
      </w:r>
      <w:r/>
    </w:p>
    <w:p>
      <w:pPr>
        <w:ind w:firstLine="420"/>
        <w:jc w:val="left"/>
        <w:spacing w:line="360" w:lineRule="auto"/>
        <w:rPr>
          <w:rFonts w:ascii="宋体" w:hAnsi="宋体"/>
          <w:szCs w:val="21"/>
        </w:rPr>
      </w:pPr>
      <w:r>
        <w:rPr>
          <w:rFonts w:ascii="宋体" w:hAnsi="宋体"/>
          <w:szCs w:val="21"/>
        </w:rPr>
        <w:t xml:space="preserve">14——温湿度测量仪；</w:t>
      </w:r>
      <w:r/>
    </w:p>
    <w:p>
      <w:pPr>
        <w:ind w:firstLine="420"/>
        <w:jc w:val="left"/>
        <w:spacing w:line="360" w:lineRule="auto"/>
        <w:rPr>
          <w:rFonts w:ascii="宋体" w:hAnsi="宋体"/>
          <w:szCs w:val="21"/>
        </w:rPr>
      </w:pPr>
      <w:r>
        <w:rPr>
          <w:rFonts w:ascii="宋体" w:hAnsi="宋体"/>
          <w:szCs w:val="21"/>
        </w:rPr>
        <w:t xml:space="preserve">15——风速计；</w:t>
      </w:r>
      <w:r/>
    </w:p>
    <w:p>
      <w:pPr>
        <w:ind w:firstLine="420"/>
        <w:jc w:val="left"/>
        <w:spacing w:line="360" w:lineRule="auto"/>
        <w:rPr>
          <w:rFonts w:ascii="宋体" w:hAnsi="宋体"/>
          <w:szCs w:val="21"/>
        </w:rPr>
      </w:pPr>
      <w:r>
        <w:rPr>
          <w:rFonts w:ascii="宋体" w:hAnsi="宋体"/>
          <w:szCs w:val="21"/>
        </w:rPr>
        <w:t xml:space="preserve">16——加湿门。</w:t>
      </w:r>
      <w:r/>
    </w:p>
    <w:p>
      <w:pPr>
        <w:ind w:firstLine="420"/>
        <w:jc w:val="left"/>
        <w:spacing w:before="156" w:line="360" w:lineRule="auto"/>
        <w:rPr>
          <w:rFonts w:ascii="宋体" w:hAnsi="宋体"/>
          <w:szCs w:val="21"/>
        </w:rPr>
      </w:pPr>
      <w:r>
        <w:rPr>
          <w:rFonts w:ascii="宋体" w:hAnsi="宋体"/>
          <w:szCs w:val="21"/>
        </w:rPr>
        <w:t xml:space="preserve">★1.1.2通风机:风速范围0m/s～6.5m/s连续可调。</w:t>
      </w:r>
      <w:r/>
    </w:p>
    <w:p>
      <w:pPr>
        <w:ind w:firstLine="420"/>
        <w:jc w:val="left"/>
        <w:spacing w:before="156" w:line="360" w:lineRule="auto"/>
        <w:rPr>
          <w:rFonts w:ascii="宋体" w:hAnsi="宋体"/>
          <w:szCs w:val="21"/>
        </w:rPr>
      </w:pPr>
      <w:r>
        <w:rPr>
          <w:rFonts w:ascii="宋体" w:hAnsi="宋体"/>
          <w:szCs w:val="21"/>
        </w:rPr>
        <w:t xml:space="preserve">★1.1.3加热器:温度范围35℃～75℃连续可调,升温速率小于或等于1℃/min。</w:t>
      </w:r>
      <w:r/>
    </w:p>
    <w:p>
      <w:pPr>
        <w:ind w:firstLine="420"/>
        <w:jc w:val="left"/>
        <w:spacing w:before="156" w:line="360" w:lineRule="auto"/>
        <w:rPr>
          <w:rFonts w:ascii="宋体" w:hAnsi="宋体"/>
          <w:szCs w:val="21"/>
        </w:rPr>
      </w:pPr>
      <w:r>
        <w:rPr>
          <w:rFonts w:ascii="宋体" w:hAnsi="宋体"/>
          <w:szCs w:val="21"/>
        </w:rPr>
        <w:t xml:space="preserve">★1.1.4加湿器:相对湿度范围90%～96%连续可调,加湿速率小于或等于5%/min。</w:t>
      </w:r>
      <w:r/>
    </w:p>
    <w:p>
      <w:pPr>
        <w:ind w:firstLine="420"/>
        <w:jc w:val="left"/>
        <w:spacing w:before="156" w:line="360" w:lineRule="auto"/>
        <w:rPr>
          <w:rFonts w:ascii="宋体" w:hAnsi="宋体"/>
          <w:szCs w:val="21"/>
        </w:rPr>
      </w:pPr>
      <w:r>
        <w:rPr>
          <w:rFonts w:ascii="宋体" w:hAnsi="宋体"/>
          <w:szCs w:val="21"/>
        </w:rPr>
        <w:t xml:space="preserve">★1.1.5蒸发器:温度范围0℃～-40℃连续可调,降温速率小于或等于1℃/min。</w:t>
      </w:r>
      <w:r/>
    </w:p>
    <w:p>
      <w:pPr>
        <w:ind w:firstLine="420"/>
        <w:jc w:val="left"/>
        <w:spacing w:before="156" w:line="360" w:lineRule="auto"/>
        <w:rPr>
          <w:rFonts w:ascii="宋体" w:hAnsi="宋体"/>
          <w:szCs w:val="21"/>
        </w:rPr>
      </w:pPr>
      <w:r>
        <w:rPr>
          <w:rFonts w:ascii="宋体" w:hAnsi="宋体"/>
          <w:szCs w:val="21"/>
        </w:rPr>
        <w:t xml:space="preserve">★1.1.6温度测量仪:误差不超过士0.5℃,分辨率小于或等于0.1℃。  </w:t>
      </w:r>
      <w:r/>
    </w:p>
    <w:p>
      <w:pPr>
        <w:ind w:firstLine="420"/>
        <w:jc w:val="left"/>
        <w:spacing w:before="156" w:line="360" w:lineRule="auto"/>
        <w:rPr>
          <w:rFonts w:ascii="宋体" w:hAnsi="宋体"/>
          <w:szCs w:val="21"/>
        </w:rPr>
      </w:pPr>
      <w:r>
        <w:rPr>
          <w:rFonts w:ascii="宋体" w:hAnsi="宋体"/>
          <w:szCs w:val="21"/>
        </w:rPr>
        <w:t xml:space="preserve">★1.1.7湿度测量仪:相对湿度误差不超过士0.5%,分辨率小于或等于0.1%。</w:t>
      </w:r>
      <w:r/>
    </w:p>
    <w:p>
      <w:pPr>
        <w:ind w:firstLine="420"/>
        <w:jc w:val="left"/>
        <w:spacing w:before="156" w:line="360" w:lineRule="auto"/>
        <w:rPr>
          <w:rFonts w:ascii="宋体" w:hAnsi="宋体"/>
          <w:szCs w:val="21"/>
        </w:rPr>
      </w:pPr>
      <w:r>
        <w:rPr>
          <w:rFonts w:ascii="宋体" w:hAnsi="宋体"/>
          <w:szCs w:val="21"/>
        </w:rPr>
        <w:t xml:space="preserve">★1.1.8风速计:测量范围 0.2 m/s～10 m/s,测量误差不超过士5%,分辨率小于或等于 0.1 m/s。</w:t>
      </w:r>
      <w:r/>
    </w:p>
    <w:p>
      <w:pPr>
        <w:ind w:firstLine="420"/>
        <w:jc w:val="left"/>
        <w:spacing w:line="360" w:lineRule="auto"/>
        <w:rPr>
          <w:rFonts w:ascii="宋体" w:hAnsi="宋体"/>
          <w:szCs w:val="21"/>
        </w:rPr>
      </w:pPr>
      <w:r>
        <w:rPr>
          <w:rFonts w:ascii="宋体" w:hAnsi="宋体"/>
          <w:szCs w:val="21"/>
        </w:rPr>
        <w:t xml:space="preserve">1.1.9内室有效容积不小于1立方米，便于批次样品检测；</w:t>
      </w:r>
      <w:r/>
    </w:p>
    <w:p>
      <w:pPr>
        <w:ind w:firstLine="420"/>
        <w:jc w:val="left"/>
        <w:spacing w:line="360" w:lineRule="auto"/>
        <w:rPr>
          <w:rFonts w:ascii="宋体" w:hAnsi="宋体"/>
          <w:szCs w:val="21"/>
        </w:rPr>
      </w:pPr>
      <w:r>
        <w:rPr>
          <w:rFonts w:ascii="宋体" w:hAnsi="宋体"/>
          <w:szCs w:val="21"/>
        </w:rPr>
        <w:t xml:space="preserve">1.1.10试验区需有视窗，视窗材质有加热保温除雾功能，便于观察；</w:t>
      </w:r>
      <w:r/>
    </w:p>
    <w:p>
      <w:pPr>
        <w:ind w:firstLine="420"/>
        <w:jc w:val="left"/>
        <w:spacing w:line="360" w:lineRule="auto"/>
        <w:rPr>
          <w:rFonts w:ascii="宋体" w:hAnsi="宋体"/>
          <w:szCs w:val="21"/>
        </w:rPr>
      </w:pPr>
      <w:r>
        <w:rPr>
          <w:rFonts w:ascii="宋体" w:hAnsi="宋体"/>
          <w:szCs w:val="21"/>
        </w:rPr>
        <w:t xml:space="preserve">1.1.11箱体为闭环箱体，需具有良好保温效果；</w:t>
      </w:r>
      <w:r/>
    </w:p>
    <w:p>
      <w:pPr>
        <w:ind w:firstLine="420"/>
        <w:jc w:val="left"/>
        <w:spacing w:line="360" w:lineRule="auto"/>
        <w:rPr>
          <w:rFonts w:ascii="宋体" w:hAnsi="宋体"/>
          <w:szCs w:val="21"/>
        </w:rPr>
      </w:pPr>
      <w:r>
        <w:rPr>
          <w:rFonts w:ascii="宋体" w:hAnsi="宋体"/>
          <w:szCs w:val="21"/>
        </w:rPr>
        <w:t xml:space="preserve">1.1.12带触摸显示屏，方便设定温度、湿度等参数，并记录仪器状态等数据及输出；</w:t>
      </w:r>
      <w:r/>
    </w:p>
    <w:p>
      <w:pPr>
        <w:ind w:firstLine="420"/>
        <w:spacing w:line="360" w:lineRule="auto"/>
        <w:rPr>
          <w:rFonts w:ascii="宋体" w:hAnsi="宋体"/>
          <w:szCs w:val="21"/>
        </w:rPr>
      </w:pPr>
      <w:r>
        <w:rPr>
          <w:rFonts w:ascii="宋体" w:hAnsi="宋体"/>
          <w:szCs w:val="21"/>
        </w:rPr>
        <w:t xml:space="preserve">1.1.13交付时需带有资质的省级及以上授权机构出具的溯源证书，证书内容应满足技术规格中标明的主要技术指标、参数、范围。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lang w:val="it-IT"/>
        </w:rPr>
        <w:t xml:space="preserve">1</w:t>
      </w:r>
      <w:r>
        <w:rPr>
          <w:rFonts w:ascii="宋体" w:hAnsi="宋体"/>
          <w:szCs w:val="21"/>
        </w:rPr>
        <w:t xml:space="preserve">.2 甲烷气体分析仪</w:t>
      </w:r>
      <w:r/>
    </w:p>
    <w:p>
      <w:pPr>
        <w:ind w:firstLine="420"/>
        <w:jc w:val="left"/>
        <w:spacing w:line="360" w:lineRule="auto"/>
        <w:rPr>
          <w:rFonts w:ascii="宋体" w:hAnsi="宋体"/>
          <w:szCs w:val="21"/>
        </w:rPr>
      </w:pPr>
      <w:r>
        <w:rPr>
          <w:rFonts w:ascii="宋体" w:hAnsi="宋体"/>
          <w:szCs w:val="21"/>
        </w:rPr>
        <w:t xml:space="preserve">★1.2.1 测量范围不小于5%Vol；</w:t>
      </w:r>
      <w:r/>
    </w:p>
    <w:p>
      <w:pPr>
        <w:ind w:firstLine="420"/>
        <w:jc w:val="left"/>
        <w:spacing w:line="360" w:lineRule="auto"/>
        <w:rPr>
          <w:rFonts w:ascii="宋体" w:hAnsi="宋体"/>
          <w:szCs w:val="21"/>
        </w:rPr>
      </w:pPr>
      <w:r>
        <w:rPr>
          <w:rFonts w:ascii="宋体" w:hAnsi="宋体"/>
          <w:szCs w:val="21"/>
        </w:rPr>
        <w:t xml:space="preserve">1.2.2 最大允许误差不超过±2%FS；</w:t>
      </w:r>
      <w:r/>
    </w:p>
    <w:p>
      <w:pPr>
        <w:ind w:firstLine="420"/>
        <w:spacing w:line="360" w:lineRule="auto"/>
        <w:rPr>
          <w:rFonts w:ascii="宋体" w:hAnsi="宋体"/>
          <w:color w:val="ff0000"/>
          <w:szCs w:val="21"/>
        </w:rPr>
      </w:pPr>
      <w:r>
        <w:rPr>
          <w:rFonts w:ascii="宋体" w:hAnsi="宋体"/>
          <w:szCs w:val="21"/>
        </w:rPr>
        <w:t xml:space="preserve">1.2.3交付时需带有资质的省级及以上授权机构出具的溯源证书，证书内容应满足技术规格中标明的主要技术指标、参数、范围。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lang w:val="it-IT"/>
        </w:rPr>
        <w:t xml:space="preserve">1</w:t>
      </w:r>
      <w:r>
        <w:rPr>
          <w:rFonts w:ascii="宋体" w:hAnsi="宋体"/>
          <w:szCs w:val="21"/>
        </w:rPr>
        <w:t xml:space="preserve">.3 甲烷气体分析仪</w:t>
      </w:r>
      <w:r/>
    </w:p>
    <w:p>
      <w:pPr>
        <w:ind w:firstLine="420"/>
        <w:jc w:val="left"/>
        <w:spacing w:line="360" w:lineRule="auto"/>
        <w:rPr>
          <w:rFonts w:ascii="宋体" w:hAnsi="宋体"/>
          <w:szCs w:val="21"/>
        </w:rPr>
      </w:pPr>
      <w:r>
        <w:rPr>
          <w:rFonts w:ascii="宋体" w:hAnsi="宋体"/>
          <w:szCs w:val="21"/>
        </w:rPr>
        <w:t xml:space="preserve">★1.3.1 测量范围不小于8.5%Vol；</w:t>
      </w:r>
      <w:r/>
    </w:p>
    <w:p>
      <w:pPr>
        <w:ind w:firstLine="420"/>
        <w:jc w:val="left"/>
        <w:spacing w:line="360" w:lineRule="auto"/>
        <w:rPr>
          <w:rFonts w:ascii="宋体" w:hAnsi="宋体"/>
          <w:szCs w:val="21"/>
        </w:rPr>
      </w:pPr>
      <w:r>
        <w:rPr>
          <w:rFonts w:ascii="宋体" w:hAnsi="宋体"/>
          <w:szCs w:val="21"/>
        </w:rPr>
        <w:t xml:space="preserve">1.3.2 最大允许误差不超过±2%FS；</w:t>
      </w:r>
      <w:r/>
    </w:p>
    <w:p>
      <w:pPr>
        <w:ind w:firstLine="420"/>
        <w:jc w:val="left"/>
        <w:spacing w:line="360" w:lineRule="auto"/>
        <w:rPr>
          <w:rFonts w:ascii="宋体" w:hAnsi="宋体"/>
          <w:color w:val="ff0000"/>
          <w:szCs w:val="21"/>
        </w:rPr>
      </w:pPr>
      <w:r>
        <w:rPr>
          <w:rFonts w:ascii="宋体" w:hAnsi="宋体"/>
          <w:szCs w:val="21"/>
        </w:rPr>
        <w:t xml:space="preserve">1.3.3交付时需带有资质的省级及以上授权机构出具的溯源证书，证书内容应满足技术规格中标明的主要技术指标、参数、范围。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1.4一氧化碳气体分析仪</w:t>
      </w:r>
      <w:r/>
    </w:p>
    <w:p>
      <w:pPr>
        <w:ind w:firstLine="420"/>
        <w:jc w:val="left"/>
        <w:spacing w:line="360" w:lineRule="auto"/>
        <w:rPr>
          <w:rFonts w:ascii="宋体" w:hAnsi="宋体"/>
          <w:szCs w:val="21"/>
        </w:rPr>
      </w:pPr>
      <w:r>
        <w:rPr>
          <w:rFonts w:ascii="宋体" w:hAnsi="宋体"/>
          <w:szCs w:val="21"/>
        </w:rPr>
        <w:t xml:space="preserve">★1.4.1 测量范围不小于500µmol/mol；</w:t>
      </w:r>
      <w:r/>
    </w:p>
    <w:p>
      <w:pPr>
        <w:ind w:firstLine="420"/>
        <w:jc w:val="left"/>
        <w:spacing w:line="360" w:lineRule="auto"/>
        <w:rPr>
          <w:rFonts w:ascii="宋体" w:hAnsi="宋体"/>
          <w:szCs w:val="21"/>
        </w:rPr>
      </w:pPr>
      <w:r>
        <w:rPr>
          <w:rFonts w:ascii="宋体" w:hAnsi="宋体"/>
          <w:szCs w:val="21"/>
        </w:rPr>
        <w:t xml:space="preserve">1.4.2 示值引用误差不超过±2%FS；</w:t>
      </w:r>
      <w:r/>
    </w:p>
    <w:p>
      <w:pPr>
        <w:ind w:firstLine="420"/>
        <w:jc w:val="left"/>
        <w:spacing w:line="360" w:lineRule="auto"/>
        <w:rPr>
          <w:rFonts w:ascii="宋体" w:hAnsi="宋体"/>
          <w:szCs w:val="21"/>
        </w:rPr>
      </w:pPr>
      <w:r>
        <w:rPr>
          <w:rFonts w:ascii="宋体" w:hAnsi="宋体"/>
          <w:szCs w:val="21"/>
        </w:rPr>
        <w:t xml:space="preserve">1.4.3交付时需带有资质的省级及以上授权机构出具的溯源证书，证书内容应满足技术规格中标明的主要技术指标、参数、范围。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1.5丙烷气体分析仪</w:t>
      </w:r>
      <w:r/>
    </w:p>
    <w:p>
      <w:pPr>
        <w:ind w:firstLine="420"/>
        <w:jc w:val="left"/>
        <w:spacing w:line="360" w:lineRule="auto"/>
        <w:rPr>
          <w:rFonts w:ascii="宋体" w:hAnsi="宋体"/>
          <w:szCs w:val="21"/>
        </w:rPr>
      </w:pPr>
      <w:r>
        <w:rPr>
          <w:rFonts w:ascii="宋体" w:hAnsi="宋体"/>
          <w:szCs w:val="21"/>
        </w:rPr>
        <w:t xml:space="preserve">★1.5.1 测量范围不小于2.2%Vol；</w:t>
      </w:r>
      <w:r/>
    </w:p>
    <w:p>
      <w:pPr>
        <w:ind w:firstLine="420"/>
        <w:jc w:val="left"/>
        <w:spacing w:line="360" w:lineRule="auto"/>
        <w:rPr>
          <w:rFonts w:ascii="宋体" w:hAnsi="宋体"/>
          <w:szCs w:val="21"/>
        </w:rPr>
      </w:pPr>
      <w:r>
        <w:rPr>
          <w:rFonts w:ascii="宋体" w:hAnsi="宋体"/>
          <w:szCs w:val="21"/>
        </w:rPr>
        <w:t xml:space="preserve">1.5.2 最大允许误差不超过±2%FS；</w:t>
      </w:r>
      <w:r/>
    </w:p>
    <w:p>
      <w:pPr>
        <w:ind w:firstLine="420"/>
        <w:jc w:val="left"/>
        <w:spacing w:line="360" w:lineRule="auto"/>
        <w:rPr>
          <w:rFonts w:ascii="宋体" w:hAnsi="宋体"/>
          <w:szCs w:val="21"/>
        </w:rPr>
      </w:pPr>
      <w:r>
        <w:rPr>
          <w:rFonts w:ascii="宋体" w:hAnsi="宋体"/>
          <w:szCs w:val="21"/>
        </w:rPr>
        <w:t xml:space="preserve">1.5.3交付时需带有资质的省级及以上授权机构出具的溯源证书，证书内容应满足技术规格中标明的主要技术指标、参数、范围。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1.6丙烷气体分析仪</w:t>
      </w:r>
      <w:r/>
    </w:p>
    <w:p>
      <w:pPr>
        <w:ind w:firstLine="420"/>
        <w:jc w:val="left"/>
        <w:spacing w:line="360" w:lineRule="auto"/>
        <w:rPr>
          <w:rFonts w:ascii="宋体" w:hAnsi="宋体"/>
          <w:szCs w:val="21"/>
        </w:rPr>
      </w:pPr>
      <w:r>
        <w:rPr>
          <w:rFonts w:ascii="宋体" w:hAnsi="宋体"/>
          <w:szCs w:val="21"/>
        </w:rPr>
        <w:t xml:space="preserve">★1.6.1 测量范围不小于4.6%Vol；</w:t>
      </w:r>
      <w:r/>
    </w:p>
    <w:p>
      <w:pPr>
        <w:ind w:firstLine="420"/>
        <w:jc w:val="left"/>
        <w:spacing w:line="360" w:lineRule="auto"/>
        <w:rPr>
          <w:rFonts w:ascii="宋体" w:hAnsi="宋体"/>
          <w:szCs w:val="21"/>
        </w:rPr>
      </w:pPr>
      <w:r>
        <w:rPr>
          <w:rFonts w:ascii="宋体" w:hAnsi="宋体"/>
          <w:szCs w:val="21"/>
        </w:rPr>
        <w:t xml:space="preserve">1.6.2 最大允许误差不超过±2%FS；</w:t>
      </w:r>
      <w:r/>
    </w:p>
    <w:p>
      <w:pPr>
        <w:ind w:firstLine="420"/>
        <w:jc w:val="left"/>
        <w:spacing w:line="360" w:lineRule="auto"/>
        <w:rPr>
          <w:rFonts w:ascii="宋体" w:hAnsi="宋体"/>
          <w:szCs w:val="21"/>
        </w:rPr>
      </w:pPr>
      <w:r>
        <w:rPr>
          <w:rFonts w:ascii="宋体" w:hAnsi="宋体"/>
          <w:szCs w:val="21"/>
        </w:rPr>
        <w:t xml:space="preserve">1.6.3交付时需带有资质的省级及以上授权机构出具的溯源证书，证书内容应满足技术规格中标明的主要技术指标、参数、范围。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1.7异丁烷气体分析仪</w:t>
      </w:r>
      <w:r/>
    </w:p>
    <w:p>
      <w:pPr>
        <w:ind w:firstLine="420"/>
        <w:jc w:val="left"/>
        <w:spacing w:line="360" w:lineRule="auto"/>
        <w:rPr>
          <w:rFonts w:ascii="宋体" w:hAnsi="宋体"/>
          <w:szCs w:val="21"/>
        </w:rPr>
      </w:pPr>
      <w:r>
        <w:rPr>
          <w:rFonts w:ascii="宋体" w:hAnsi="宋体"/>
          <w:szCs w:val="21"/>
        </w:rPr>
        <w:t xml:space="preserve">★1.7.1 测量范围不小于1.8%Vol；</w:t>
      </w:r>
      <w:r/>
    </w:p>
    <w:p>
      <w:pPr>
        <w:ind w:firstLine="420"/>
        <w:jc w:val="left"/>
        <w:spacing w:line="360" w:lineRule="auto"/>
        <w:rPr>
          <w:rFonts w:ascii="宋体" w:hAnsi="宋体"/>
          <w:szCs w:val="21"/>
        </w:rPr>
      </w:pPr>
      <w:r>
        <w:rPr>
          <w:rFonts w:ascii="宋体" w:hAnsi="宋体"/>
          <w:szCs w:val="21"/>
        </w:rPr>
        <w:t xml:space="preserve">1.7.2 最大允许误差不超过±2%FS；</w:t>
      </w:r>
      <w:r/>
    </w:p>
    <w:p>
      <w:pPr>
        <w:ind w:firstLine="420"/>
        <w:jc w:val="left"/>
        <w:spacing w:line="360" w:lineRule="auto"/>
        <w:rPr>
          <w:rFonts w:ascii="宋体" w:hAnsi="宋体"/>
          <w:szCs w:val="21"/>
        </w:rPr>
      </w:pPr>
      <w:r>
        <w:rPr>
          <w:rFonts w:ascii="宋体" w:hAnsi="宋体"/>
          <w:szCs w:val="21"/>
        </w:rPr>
        <w:t xml:space="preserve">1.7.3交付时需带有资质的省级及以上授权机构出具的溯源证书，证书内容应满足技术规格中标明的主要技术指标、参数、范围。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1.8氢气气体分析仪</w:t>
      </w:r>
      <w:r/>
    </w:p>
    <w:p>
      <w:pPr>
        <w:ind w:firstLine="420"/>
        <w:jc w:val="left"/>
        <w:spacing w:line="360" w:lineRule="auto"/>
        <w:rPr>
          <w:rFonts w:ascii="宋体" w:hAnsi="宋体"/>
          <w:szCs w:val="21"/>
        </w:rPr>
      </w:pPr>
      <w:r>
        <w:rPr>
          <w:rFonts w:ascii="宋体" w:hAnsi="宋体"/>
          <w:szCs w:val="21"/>
        </w:rPr>
        <w:t xml:space="preserve">★1.8.1测量范围不小于4.0%Vol；</w:t>
      </w:r>
      <w:r/>
    </w:p>
    <w:p>
      <w:pPr>
        <w:ind w:firstLine="420"/>
        <w:jc w:val="left"/>
        <w:spacing w:line="360" w:lineRule="auto"/>
        <w:rPr>
          <w:rFonts w:ascii="宋体" w:hAnsi="宋体"/>
          <w:szCs w:val="21"/>
        </w:rPr>
      </w:pPr>
      <w:r>
        <w:rPr>
          <w:rFonts w:ascii="宋体" w:hAnsi="宋体"/>
          <w:szCs w:val="21"/>
        </w:rPr>
        <w:t xml:space="preserve">1.8.2基本误差不超过±2%FS；</w:t>
      </w:r>
      <w:r/>
    </w:p>
    <w:p>
      <w:pPr>
        <w:ind w:firstLine="420"/>
        <w:jc w:val="left"/>
        <w:spacing w:line="360" w:lineRule="auto"/>
        <w:rPr>
          <w:rFonts w:ascii="宋体" w:hAnsi="宋体"/>
          <w:szCs w:val="21"/>
        </w:rPr>
      </w:pPr>
      <w:r>
        <w:rPr>
          <w:rFonts w:ascii="宋体" w:hAnsi="宋体"/>
          <w:szCs w:val="21"/>
        </w:rPr>
        <w:t xml:space="preserve">1.8.3交付时需带有资质的省级及以上授权机构出具的溯源证书，证书内容应满足技术规格中标明的主要技术指标、参数、范围。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1.9乙酸气体分析仪</w:t>
      </w:r>
      <w:r/>
    </w:p>
    <w:p>
      <w:pPr>
        <w:ind w:firstLine="420"/>
        <w:jc w:val="left"/>
        <w:spacing w:line="360" w:lineRule="auto"/>
        <w:rPr>
          <w:rFonts w:ascii="宋体" w:hAnsi="宋体"/>
          <w:szCs w:val="21"/>
        </w:rPr>
      </w:pPr>
      <w:r>
        <w:rPr>
          <w:rFonts w:ascii="宋体" w:hAnsi="宋体"/>
          <w:szCs w:val="21"/>
        </w:rPr>
        <w:t xml:space="preserve">★1.9.1 测量范围不小于6000µmol/mol；</w:t>
      </w:r>
      <w:r/>
    </w:p>
    <w:p>
      <w:pPr>
        <w:ind w:firstLine="420"/>
        <w:jc w:val="left"/>
        <w:spacing w:line="360" w:lineRule="auto"/>
        <w:rPr>
          <w:rFonts w:ascii="宋体" w:hAnsi="宋体"/>
          <w:szCs w:val="21"/>
        </w:rPr>
      </w:pPr>
      <w:r>
        <w:rPr>
          <w:rFonts w:ascii="宋体" w:hAnsi="宋体"/>
          <w:szCs w:val="21"/>
        </w:rPr>
        <w:t xml:space="preserve">1.9.2 示值误差不超过±3.3%；</w:t>
      </w:r>
      <w:r/>
    </w:p>
    <w:p>
      <w:pPr>
        <w:ind w:firstLine="420"/>
        <w:jc w:val="left"/>
        <w:spacing w:line="360" w:lineRule="auto"/>
        <w:rPr>
          <w:rFonts w:ascii="宋体" w:hAnsi="宋体"/>
          <w:szCs w:val="21"/>
        </w:rPr>
      </w:pPr>
      <w:r>
        <w:rPr>
          <w:rFonts w:ascii="宋体" w:hAnsi="宋体"/>
          <w:szCs w:val="21"/>
        </w:rPr>
        <w:t xml:space="preserve">1.9.3交付时需带有资质的省级及以上授权机构出具的溯源证书，证书内容应满足技术规格中标明的主要技术指标、参数、范围。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1.10乙醇气体分析仪</w:t>
      </w:r>
      <w:r/>
    </w:p>
    <w:p>
      <w:pPr>
        <w:ind w:firstLine="420"/>
        <w:jc w:val="left"/>
        <w:spacing w:line="360" w:lineRule="auto"/>
        <w:rPr>
          <w:rFonts w:ascii="宋体" w:hAnsi="宋体"/>
          <w:szCs w:val="21"/>
        </w:rPr>
      </w:pPr>
      <w:r>
        <w:rPr>
          <w:rFonts w:ascii="宋体" w:hAnsi="宋体"/>
          <w:szCs w:val="21"/>
        </w:rPr>
        <w:t xml:space="preserve">★1.10.1 测量范围不小于2000µmol/mol；</w:t>
      </w:r>
      <w:r/>
    </w:p>
    <w:p>
      <w:pPr>
        <w:ind w:firstLine="420"/>
        <w:jc w:val="left"/>
        <w:spacing w:line="360" w:lineRule="auto"/>
        <w:rPr>
          <w:rFonts w:ascii="宋体" w:hAnsi="宋体"/>
          <w:szCs w:val="21"/>
        </w:rPr>
      </w:pPr>
      <w:r>
        <w:rPr>
          <w:rFonts w:ascii="宋体" w:hAnsi="宋体"/>
          <w:szCs w:val="21"/>
        </w:rPr>
        <w:t xml:space="preserve">1.10.2 示值误差不超过±10%；</w:t>
      </w:r>
      <w:r/>
    </w:p>
    <w:p>
      <w:pPr>
        <w:ind w:firstLine="420"/>
        <w:jc w:val="left"/>
        <w:spacing w:line="360" w:lineRule="auto"/>
        <w:rPr>
          <w:rFonts w:ascii="宋体" w:hAnsi="宋体"/>
          <w:szCs w:val="21"/>
        </w:rPr>
      </w:pPr>
      <w:r>
        <w:rPr>
          <w:rFonts w:ascii="宋体" w:hAnsi="宋体"/>
          <w:szCs w:val="21"/>
        </w:rPr>
        <w:t xml:space="preserve">1.10.3交付时需带有资质的省级及以上授权机构出具的溯源证书，证书内容应满足技术规格中标明的主要技术指标、参数、范围。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1.11硫化氢气体分析仪</w:t>
      </w:r>
      <w:r/>
    </w:p>
    <w:p>
      <w:pPr>
        <w:ind w:firstLine="420"/>
        <w:jc w:val="left"/>
        <w:spacing w:line="360" w:lineRule="auto"/>
        <w:rPr>
          <w:rFonts w:ascii="宋体" w:hAnsi="宋体"/>
          <w:szCs w:val="21"/>
        </w:rPr>
      </w:pPr>
      <w:r>
        <w:rPr>
          <w:rFonts w:ascii="宋体" w:hAnsi="宋体"/>
          <w:szCs w:val="21"/>
        </w:rPr>
        <w:t xml:space="preserve">★1.11.1 测量范围不小于10µmol/mol；</w:t>
      </w:r>
      <w:r/>
    </w:p>
    <w:p>
      <w:pPr>
        <w:ind w:firstLine="420"/>
        <w:jc w:val="left"/>
        <w:spacing w:line="360" w:lineRule="auto"/>
        <w:rPr>
          <w:rFonts w:ascii="宋体" w:hAnsi="宋体"/>
          <w:szCs w:val="21"/>
        </w:rPr>
      </w:pPr>
      <w:r>
        <w:rPr>
          <w:rFonts w:ascii="宋体" w:hAnsi="宋体"/>
          <w:szCs w:val="21"/>
        </w:rPr>
        <w:t xml:space="preserve">1.11.2 示值误差不超过±10%；</w:t>
      </w:r>
      <w:r/>
    </w:p>
    <w:p>
      <w:pPr>
        <w:ind w:firstLine="420"/>
        <w:jc w:val="left"/>
        <w:spacing w:line="360" w:lineRule="auto"/>
        <w:rPr>
          <w:rFonts w:ascii="宋体" w:hAnsi="宋体"/>
          <w:szCs w:val="21"/>
        </w:rPr>
      </w:pPr>
      <w:r>
        <w:rPr>
          <w:rFonts w:ascii="宋体" w:hAnsi="宋体"/>
          <w:szCs w:val="21"/>
        </w:rPr>
        <w:t xml:space="preserve">1.11.3交付时需带有资质的省级及以上授权机构出具的溯源证书，证书内容应满足技术规格中标明的主要技术指标、参数、范围。</w:t>
      </w:r>
      <w:r/>
    </w:p>
    <w:p>
      <w:pPr>
        <w:ind w:firstLine="420"/>
        <w:jc w:val="left"/>
        <w:spacing w:line="360" w:lineRule="auto"/>
        <w:rPr>
          <w:rFonts w:ascii="宋体" w:hAnsi="宋体"/>
          <w:szCs w:val="21"/>
        </w:rPr>
      </w:pPr>
      <w:r>
        <w:rPr>
          <w:rFonts w:ascii="宋体" w:hAnsi="宋体"/>
          <w:szCs w:val="21"/>
        </w:rPr>
        <w:t xml:space="preserve">1.12气体注样仪</w:t>
      </w:r>
      <w:r/>
    </w:p>
    <w:p>
      <w:pPr>
        <w:ind w:firstLine="420"/>
        <w:jc w:val="left"/>
        <w:spacing w:line="360" w:lineRule="auto"/>
        <w:rPr>
          <w:rFonts w:ascii="宋体" w:hAnsi="宋体"/>
          <w:spacing w:val="6"/>
          <w:szCs w:val="21"/>
        </w:rPr>
      </w:pPr>
      <w:r>
        <w:rPr>
          <w:rFonts w:ascii="宋体" w:hAnsi="宋体"/>
          <w:szCs w:val="21"/>
        </w:rPr>
        <w:t xml:space="preserve">1.12.1适用气体：</w:t>
      </w:r>
      <w:r>
        <w:rPr>
          <w:rFonts w:ascii="宋体" w:hAnsi="宋体"/>
          <w:spacing w:val="7"/>
          <w:szCs w:val="21"/>
        </w:rPr>
        <w:t xml:space="preserve">甲烷、丙烷、一氧化碳、氢气、异丁烷等无腐蚀</w:t>
      </w:r>
      <w:r>
        <w:rPr>
          <w:rFonts w:ascii="宋体" w:hAnsi="宋体"/>
          <w:spacing w:val="6"/>
          <w:szCs w:val="21"/>
        </w:rPr>
        <w:t xml:space="preserve">性气体；</w:t>
      </w:r>
      <w:r/>
    </w:p>
    <w:p>
      <w:pPr>
        <w:ind w:firstLine="444"/>
        <w:jc w:val="left"/>
        <w:spacing w:line="360" w:lineRule="auto"/>
        <w:rPr>
          <w:rFonts w:ascii="宋体" w:hAnsi="宋体"/>
          <w:spacing w:val="6"/>
          <w:szCs w:val="21"/>
        </w:rPr>
      </w:pPr>
      <w:r>
        <w:rPr>
          <w:rFonts w:ascii="宋体" w:hAnsi="宋体"/>
          <w:spacing w:val="6"/>
          <w:szCs w:val="21"/>
        </w:rPr>
        <w:t xml:space="preserve">1.12.2不同气体浓度之间能切换；</w:t>
      </w:r>
      <w:r/>
    </w:p>
    <w:p>
      <w:pPr>
        <w:ind w:firstLine="444"/>
        <w:spacing w:line="360" w:lineRule="auto"/>
        <w:rPr>
          <w:rFonts w:ascii="宋体" w:hAnsi="宋体"/>
          <w:spacing w:val="6"/>
          <w:szCs w:val="21"/>
        </w:rPr>
      </w:pPr>
      <w:r>
        <w:rPr>
          <w:rFonts w:ascii="宋体" w:hAnsi="宋体"/>
          <w:spacing w:val="6"/>
          <w:szCs w:val="21"/>
        </w:rPr>
        <w:t xml:space="preserve">1.12.3需有量程调整功能，可根据气体分析仪量程调整；</w:t>
      </w:r>
      <w:r/>
    </w:p>
    <w:p>
      <w:pPr>
        <w:ind w:left="479"/>
        <w:jc w:val="left"/>
        <w:spacing w:line="360" w:lineRule="auto"/>
        <w:rPr>
          <w:rFonts w:ascii="宋体" w:hAnsi="宋体"/>
          <w:spacing w:val="8"/>
          <w:position w:val="2"/>
          <w:szCs w:val="21"/>
        </w:rPr>
      </w:pPr>
      <w:r>
        <w:rPr>
          <w:rFonts w:ascii="宋体" w:hAnsi="宋体"/>
          <w:szCs w:val="21"/>
        </w:rPr>
        <w:t xml:space="preserve">▲</w:t>
      </w:r>
      <w:r>
        <w:rPr>
          <w:rFonts w:ascii="宋体" w:hAnsi="宋体"/>
          <w:spacing w:val="6"/>
          <w:szCs w:val="21"/>
        </w:rPr>
        <w:t xml:space="preserve">1.12.4需区分自动和手动注样模式，可更方便的进行探测器的测试和标定；</w:t>
      </w:r>
      <w:r>
        <w:rPr>
          <w:rFonts w:ascii="宋体" w:hAnsi="宋体"/>
          <w:szCs w:val="21"/>
        </w:rPr>
        <w:t xml:space="preserve">▲</w:t>
      </w:r>
      <w:r>
        <w:rPr>
          <w:rFonts w:ascii="宋体" w:hAnsi="宋体"/>
          <w:spacing w:val="8"/>
          <w:position w:val="2"/>
          <w:szCs w:val="21"/>
        </w:rPr>
        <w:t xml:space="preserve">1.12.5需有气体超限保护功能，当超出设定上限值时能切断气源，确保安全。</w:t>
      </w:r>
      <w:r/>
    </w:p>
    <w:p>
      <w:pPr>
        <w:ind w:firstLine="420"/>
        <w:jc w:val="left"/>
        <w:spacing w:line="360" w:lineRule="auto"/>
        <w:rPr>
          <w:rFonts w:ascii="宋体" w:hAnsi="宋体"/>
          <w:szCs w:val="21"/>
        </w:rPr>
      </w:pPr>
      <w:r>
        <w:rPr>
          <w:rFonts w:ascii="宋体" w:hAnsi="宋体"/>
          <w:szCs w:val="21"/>
        </w:rPr>
        <w:t xml:space="preserve">1.13气体浓度配比试验箱</w:t>
      </w:r>
      <w:r/>
    </w:p>
    <w:p>
      <w:pPr>
        <w:ind w:firstLine="420"/>
        <w:jc w:val="left"/>
        <w:spacing w:line="360" w:lineRule="auto"/>
        <w:rPr>
          <w:rFonts w:ascii="宋体" w:hAnsi="宋体"/>
          <w:szCs w:val="21"/>
        </w:rPr>
      </w:pPr>
      <w:r>
        <w:rPr>
          <w:rFonts w:ascii="宋体" w:hAnsi="宋体"/>
          <w:szCs w:val="21"/>
        </w:rPr>
        <w:t xml:space="preserve">1.13.1要求箱体透明，可以实时观察产品的测试情况；</w:t>
      </w:r>
      <w:r/>
    </w:p>
    <w:p>
      <w:pPr>
        <w:ind w:firstLine="420"/>
        <w:jc w:val="left"/>
        <w:spacing w:line="360" w:lineRule="auto"/>
        <w:rPr>
          <w:rFonts w:ascii="宋体" w:hAnsi="宋体"/>
          <w:szCs w:val="21"/>
        </w:rPr>
      </w:pPr>
      <w:r>
        <w:rPr>
          <w:rFonts w:ascii="宋体" w:hAnsi="宋体"/>
          <w:szCs w:val="21"/>
        </w:rPr>
        <w:t xml:space="preserve">1.13.2要求箱体密封性好，可有效防止气体泄露。</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t xml:space="preserve">1.14抗气体干扰试验装置</w:t>
      </w:r>
      <w:r/>
    </w:p>
    <w:p>
      <w:pPr>
        <w:ind w:firstLine="420"/>
        <w:jc w:val="left"/>
        <w:spacing w:line="360" w:lineRule="auto"/>
        <w:rPr>
          <w:rFonts w:ascii="宋体" w:hAnsi="宋体"/>
          <w:szCs w:val="21"/>
        </w:rPr>
      </w:pPr>
      <w:r>
        <w:rPr>
          <w:rFonts w:ascii="宋体" w:hAnsi="宋体"/>
          <w:szCs w:val="21"/>
        </w:rPr>
        <w:t xml:space="preserve">1.14.1适用气体：乙酸气体、乙醇气体、六甲基二硅醚蒸气、硫化氢气体；</w:t>
      </w:r>
      <w:r/>
    </w:p>
    <w:p>
      <w:pPr>
        <w:ind w:firstLine="420"/>
        <w:jc w:val="left"/>
        <w:spacing w:line="360" w:lineRule="auto"/>
        <w:rPr>
          <w:rFonts w:ascii="宋体" w:hAnsi="宋体"/>
          <w:szCs w:val="21"/>
        </w:rPr>
      </w:pPr>
      <w:r>
        <w:rPr>
          <w:rFonts w:ascii="宋体" w:hAnsi="宋体"/>
          <w:szCs w:val="21"/>
        </w:rPr>
        <w:t xml:space="preserve">▲1.14.2能够实验不开箱操作，避免实验人员接触有毒气体；</w:t>
      </w:r>
      <w:r/>
    </w:p>
    <w:p>
      <w:pPr>
        <w:ind w:firstLine="420"/>
        <w:jc w:val="left"/>
        <w:spacing w:line="360" w:lineRule="auto"/>
        <w:rPr>
          <w:rFonts w:ascii="宋体" w:hAnsi="宋体"/>
          <w:szCs w:val="21"/>
        </w:rPr>
      </w:pPr>
      <w:r>
        <w:rPr>
          <w:rFonts w:ascii="宋体" w:hAnsi="宋体"/>
          <w:szCs w:val="21"/>
        </w:rPr>
        <w:t xml:space="preserve">▲1.14.3需带有加热装置、排风装置、时间控制装置。</w:t>
      </w:r>
      <w:r/>
    </w:p>
    <w:p>
      <w:pPr>
        <w:ind w:firstLine="420"/>
        <w:jc w:val="left"/>
        <w:spacing w:line="360" w:lineRule="auto"/>
        <w:rPr>
          <w:rFonts w:ascii="宋体" w:hAnsi="宋体"/>
          <w:szCs w:val="21"/>
        </w:rPr>
      </w:pPr>
      <w:r>
        <w:rPr>
          <w:rFonts w:ascii="宋体" w:hAnsi="宋体"/>
          <w:szCs w:val="21"/>
        </w:rPr>
        <w:t xml:space="preserve">1.15气体分析仪安装柜</w:t>
      </w:r>
      <w:r/>
    </w:p>
    <w:p>
      <w:pPr>
        <w:ind w:left="479"/>
        <w:jc w:val="left"/>
        <w:spacing w:line="360" w:lineRule="auto"/>
        <w:rPr>
          <w:rFonts w:ascii="宋体" w:hAnsi="宋体"/>
          <w:szCs w:val="21"/>
        </w:rPr>
      </w:pPr>
      <w:r>
        <w:rPr>
          <w:rFonts w:ascii="宋体" w:hAnsi="宋体"/>
          <w:szCs w:val="21"/>
        </w:rPr>
        <w:t xml:space="preserve">1.15.</w:t>
      </w:r>
      <w:r>
        <w:rPr>
          <w:rFonts w:hint="eastAsia" w:ascii="宋体" w:hAnsi="宋体"/>
          <w:szCs w:val="21"/>
        </w:rPr>
        <w:t xml:space="preserve">1</w:t>
      </w:r>
      <w:r>
        <w:rPr>
          <w:rFonts w:ascii="宋体" w:hAnsi="宋体"/>
          <w:szCs w:val="21"/>
        </w:rPr>
        <w:t xml:space="preserve">用于紧凑安装装置中的各气体分析仪、注样仪等设备 ，节省实验室空间。</w:t>
      </w:r>
      <w:r/>
    </w:p>
    <w:p>
      <w:pPr>
        <w:ind w:firstLine="420"/>
        <w:jc w:val="left"/>
        <w:spacing w:line="360" w:lineRule="auto"/>
        <w:rPr>
          <w:rFonts w:ascii="宋体" w:hAnsi="宋体"/>
          <w:szCs w:val="21"/>
        </w:rPr>
      </w:pPr>
      <w:r>
        <w:rPr>
          <w:rFonts w:ascii="宋体" w:hAnsi="宋体"/>
          <w:szCs w:val="21"/>
        </w:rPr>
        <w:t xml:space="preserve">1.16 隔爆箱 15322.2 防爆性能试验</w:t>
      </w:r>
      <w:r/>
    </w:p>
    <w:p>
      <w:pPr>
        <w:ind w:firstLine="420"/>
        <w:jc w:val="left"/>
        <w:spacing w:line="360" w:lineRule="auto"/>
        <w:rPr>
          <w:rFonts w:ascii="宋体" w:hAnsi="宋体"/>
          <w:szCs w:val="21"/>
        </w:rPr>
      </w:pPr>
      <w:r>
        <w:rPr>
          <w:rFonts w:ascii="宋体" w:hAnsi="宋体"/>
          <w:szCs w:val="21"/>
        </w:rPr>
        <w:t xml:space="preserve">▲1.16.1能提供隔爆等级达 Ex db IIB T4 Gb 以上的防爆合格证；</w:t>
      </w:r>
      <w:r/>
    </w:p>
    <w:p>
      <w:pPr>
        <w:ind w:firstLine="420"/>
        <w:jc w:val="left"/>
        <w:spacing w:line="360" w:lineRule="auto"/>
        <w:rPr>
          <w:rFonts w:ascii="宋体" w:hAnsi="宋体"/>
          <w:spacing w:val="8"/>
          <w:szCs w:val="21"/>
        </w:rPr>
      </w:pPr>
      <w:r>
        <w:rPr>
          <w:rFonts w:ascii="宋体" w:hAnsi="宋体"/>
          <w:szCs w:val="21"/>
        </w:rPr>
        <w:t xml:space="preserve">1.16.2</w:t>
      </w:r>
      <w:r>
        <w:rPr>
          <w:rFonts w:ascii="宋体" w:hAnsi="宋体"/>
          <w:spacing w:val="8"/>
          <w:szCs w:val="21"/>
        </w:rPr>
        <w:t xml:space="preserve">注入气体后可通过阀门进行气源切断，防止点燃气源。</w:t>
      </w:r>
      <w:r/>
    </w:p>
    <w:p>
      <w:pPr>
        <w:ind w:firstLine="420"/>
        <w:jc w:val="left"/>
        <w:spacing w:line="360" w:lineRule="auto"/>
        <w:rPr>
          <w:rFonts w:ascii="宋体" w:hAnsi="宋体"/>
          <w:szCs w:val="21"/>
        </w:rPr>
      </w:pPr>
      <w:r>
        <w:rPr>
          <w:rFonts w:ascii="宋体" w:hAnsi="宋体"/>
          <w:szCs w:val="21"/>
        </w:rPr>
        <w:t xml:space="preserve">1.17负载能力试验箱</w:t>
      </w:r>
      <w:r/>
    </w:p>
    <w:p>
      <w:pPr>
        <w:ind w:firstLine="420"/>
        <w:jc w:val="left"/>
        <w:spacing w:line="360" w:lineRule="auto"/>
        <w:rPr>
          <w:rFonts w:ascii="宋体" w:hAnsi="宋体"/>
          <w:szCs w:val="21"/>
        </w:rPr>
      </w:pPr>
      <w:r>
        <w:rPr>
          <w:rFonts w:ascii="宋体" w:hAnsi="宋体"/>
          <w:szCs w:val="21"/>
        </w:rPr>
        <w:t xml:space="preserve">1.17.1箱体需采用金属材质，抗干扰能力强；</w:t>
      </w:r>
      <w:r/>
    </w:p>
    <w:p>
      <w:pPr>
        <w:ind w:firstLine="420"/>
        <w:jc w:val="left"/>
        <w:spacing w:line="360" w:lineRule="auto"/>
        <w:rPr>
          <w:rFonts w:ascii="宋体" w:hAnsi="宋体"/>
          <w:szCs w:val="21"/>
        </w:rPr>
      </w:pPr>
      <w:r>
        <w:rPr>
          <w:rFonts w:ascii="宋体" w:hAnsi="宋体"/>
          <w:szCs w:val="21"/>
        </w:rPr>
        <w:t xml:space="preserve">1.17.2箱体预留接线端口，可便于后续线路的增加。</w:t>
      </w:r>
      <w:r/>
    </w:p>
    <w:p>
      <w:pPr>
        <w:ind w:firstLine="420"/>
        <w:jc w:val="left"/>
        <w:spacing w:line="360" w:lineRule="auto"/>
        <w:rPr>
          <w:rFonts w:ascii="宋体" w:hAnsi="宋体"/>
          <w:szCs w:val="21"/>
        </w:rPr>
      </w:pPr>
      <w:r>
        <w:rPr>
          <w:rFonts w:ascii="宋体" w:hAnsi="宋体"/>
          <w:szCs w:val="21"/>
        </w:rPr>
      </w:r>
      <w:r/>
    </w:p>
    <w:p>
      <w:pPr>
        <w:ind w:firstLine="422"/>
        <w:jc w:val="left"/>
        <w:spacing w:line="360" w:lineRule="auto"/>
        <w:rPr>
          <w:rFonts w:ascii="宋体" w:hAnsi="宋体"/>
          <w:b/>
          <w:szCs w:val="21"/>
        </w:rPr>
      </w:pPr>
      <w:r>
        <w:rPr>
          <w:rFonts w:ascii="宋体" w:hAnsi="宋体"/>
          <w:b/>
          <w:szCs w:val="21"/>
        </w:rPr>
        <w:t xml:space="preserve">2、气溶胶发雾混匀装置</w:t>
      </w:r>
      <w:r/>
    </w:p>
    <w:p>
      <w:pPr>
        <w:ind w:firstLine="420"/>
        <w:jc w:val="left"/>
        <w:spacing w:line="360" w:lineRule="auto"/>
        <w:rPr>
          <w:rFonts w:ascii="宋体" w:hAnsi="宋体"/>
          <w:szCs w:val="21"/>
        </w:rPr>
      </w:pPr>
      <w:r>
        <w:rPr>
          <w:rFonts w:ascii="宋体" w:hAnsi="宋体"/>
          <w:szCs w:val="21"/>
        </w:rPr>
        <w:t xml:space="preserve">2.</w:t>
      </w:r>
      <w:r>
        <w:rPr>
          <w:rFonts w:ascii="宋体" w:hAnsi="宋体"/>
          <w:szCs w:val="21"/>
          <w:lang w:val="it-IT"/>
        </w:rPr>
        <w:t xml:space="preserve">1</w:t>
      </w:r>
      <w:r>
        <w:rPr>
          <w:rFonts w:ascii="宋体" w:hAnsi="宋体"/>
          <w:szCs w:val="21"/>
        </w:rPr>
        <w:t xml:space="preserve"> 功能技术要求</w:t>
      </w:r>
      <w:r/>
    </w:p>
    <w:p>
      <w:pPr>
        <w:ind w:firstLine="420"/>
        <w:spacing w:line="360" w:lineRule="auto"/>
        <w:rPr>
          <w:rFonts w:ascii="宋体" w:hAnsi="宋体"/>
          <w:szCs w:val="21"/>
        </w:rPr>
      </w:pPr>
      <w:r>
        <w:rPr>
          <w:rFonts w:ascii="宋体" w:hAnsi="宋体"/>
          <w:szCs w:val="21"/>
        </w:rPr>
        <w:t xml:space="preserve">★2.1.1可发生浓度高低可控、混合均匀的PAO-4气溶胶；</w:t>
      </w:r>
      <w:r/>
    </w:p>
    <w:p>
      <w:pPr>
        <w:ind w:firstLine="420"/>
        <w:spacing w:line="360" w:lineRule="auto"/>
        <w:rPr>
          <w:rFonts w:ascii="宋体" w:hAnsi="宋体"/>
          <w:szCs w:val="21"/>
        </w:rPr>
      </w:pPr>
      <w:r>
        <w:rPr>
          <w:rFonts w:ascii="宋体" w:hAnsi="宋体"/>
          <w:szCs w:val="21"/>
        </w:rPr>
        <w:t xml:space="preserve">★2.1.2当发生低浓度(0.01～1)μg/L气溶胶时，其浓度稳定性不超过10%/4h；</w:t>
      </w:r>
      <w:r/>
    </w:p>
    <w:p>
      <w:pPr>
        <w:ind w:firstLine="420"/>
        <w:spacing w:line="360" w:lineRule="auto"/>
        <w:rPr>
          <w:rFonts w:ascii="宋体" w:hAnsi="宋体"/>
          <w:szCs w:val="21"/>
        </w:rPr>
      </w:pPr>
      <w:r>
        <w:rPr>
          <w:rFonts w:ascii="宋体" w:hAnsi="宋体"/>
          <w:szCs w:val="21"/>
        </w:rPr>
        <w:t xml:space="preserve">★2.1.3当发生高浓度(10～100)μg/L气溶胶时，其浓度稳定性不超过5%/20min；</w:t>
      </w:r>
      <w:r/>
    </w:p>
    <w:p>
      <w:pPr>
        <w:ind w:firstLine="420"/>
        <w:spacing w:line="360" w:lineRule="auto"/>
        <w:rPr>
          <w:rFonts w:ascii="宋体" w:hAnsi="宋体"/>
          <w:szCs w:val="21"/>
        </w:rPr>
      </w:pPr>
      <w:r>
        <w:rPr>
          <w:rFonts w:ascii="宋体" w:hAnsi="宋体"/>
          <w:szCs w:val="21"/>
        </w:rPr>
        <w:t xml:space="preserve">2.1.4具备进气过滤除湿以及防磕碰等的防护设计，能够确保装置长久稳定使用。</w:t>
      </w:r>
      <w:r/>
    </w:p>
    <w:p>
      <w:pPr>
        <w:ind w:firstLine="420"/>
        <w:jc w:val="left"/>
        <w:spacing w:line="360" w:lineRule="auto"/>
        <w:rPr>
          <w:rFonts w:ascii="宋体" w:hAnsi="宋体"/>
          <w:szCs w:val="21"/>
        </w:rPr>
      </w:pPr>
      <w:r>
        <w:rPr>
          <w:rFonts w:ascii="宋体" w:hAnsi="宋体"/>
          <w:szCs w:val="21"/>
        </w:rPr>
        <w:t xml:space="preserve">2.2.其它要求</w:t>
      </w:r>
      <w:r/>
    </w:p>
    <w:p>
      <w:pPr>
        <w:ind w:firstLine="420"/>
        <w:spacing w:line="360" w:lineRule="auto"/>
        <w:rPr>
          <w:rFonts w:ascii="宋体" w:hAnsi="宋体"/>
          <w:szCs w:val="21"/>
        </w:rPr>
      </w:pPr>
      <w:r>
        <w:rPr>
          <w:rFonts w:ascii="宋体" w:hAnsi="宋体"/>
          <w:szCs w:val="21"/>
        </w:rPr>
        <w:t xml:space="preserve">▲2.2.1交付时带有国家级法定计量机构出具的溯源证书，证书内容应满足技术规格中标明的主要技术指标、参数、范围。</w:t>
      </w:r>
      <w:r/>
    </w:p>
    <w:p>
      <w:pPr>
        <w:numPr>
          <w:ilvl w:val="0"/>
          <w:numId w:val="6"/>
        </w:numPr>
        <w:ind w:firstLine="422"/>
        <w:spacing w:line="360" w:lineRule="auto"/>
        <w:rPr>
          <w:rFonts w:ascii="宋体" w:hAnsi="宋体"/>
          <w:b/>
          <w:szCs w:val="21"/>
        </w:rPr>
      </w:pPr>
      <w:r>
        <w:rPr>
          <w:rFonts w:ascii="宋体" w:hAnsi="宋体"/>
          <w:b/>
          <w:szCs w:val="21"/>
        </w:rPr>
        <w:t xml:space="preserve">精密气溶胶光度计</w:t>
      </w:r>
      <w:r/>
    </w:p>
    <w:p>
      <w:pPr>
        <w:ind w:firstLine="420"/>
        <w:jc w:val="left"/>
        <w:spacing w:line="360" w:lineRule="auto"/>
        <w:rPr>
          <w:rFonts w:ascii="宋体" w:hAnsi="宋体"/>
          <w:szCs w:val="21"/>
        </w:rPr>
      </w:pPr>
      <w:r>
        <w:rPr>
          <w:rFonts w:ascii="宋体" w:hAnsi="宋体"/>
          <w:szCs w:val="21"/>
        </w:rPr>
        <w:t xml:space="preserve">3.</w:t>
      </w:r>
      <w:r>
        <w:rPr>
          <w:rFonts w:ascii="宋体" w:hAnsi="宋体"/>
          <w:szCs w:val="21"/>
          <w:lang w:val="it-IT"/>
        </w:rPr>
        <w:t xml:space="preserve">1</w:t>
      </w:r>
      <w:r>
        <w:rPr>
          <w:rFonts w:ascii="宋体" w:hAnsi="宋体"/>
          <w:szCs w:val="21"/>
        </w:rPr>
        <w:t xml:space="preserve">功能技术要求</w:t>
      </w:r>
      <w:r/>
    </w:p>
    <w:p>
      <w:pPr>
        <w:ind w:firstLine="420"/>
        <w:jc w:val="left"/>
        <w:spacing w:line="360" w:lineRule="auto"/>
        <w:rPr>
          <w:rFonts w:ascii="宋体" w:hAnsi="宋体"/>
          <w:szCs w:val="21"/>
        </w:rPr>
      </w:pPr>
      <w:r>
        <w:rPr>
          <w:rFonts w:ascii="宋体" w:hAnsi="宋体"/>
          <w:szCs w:val="21"/>
        </w:rPr>
        <w:t xml:space="preserve">★3.1.1测量范围不小于(0.01～100)μg/L；</w:t>
      </w:r>
      <w:r/>
    </w:p>
    <w:p>
      <w:pPr>
        <w:ind w:firstLine="420"/>
        <w:jc w:val="left"/>
        <w:spacing w:line="360" w:lineRule="auto"/>
        <w:rPr>
          <w:rFonts w:ascii="宋体" w:hAnsi="宋体"/>
          <w:szCs w:val="21"/>
        </w:rPr>
      </w:pPr>
      <w:r>
        <w:rPr>
          <w:rFonts w:ascii="宋体" w:hAnsi="宋体"/>
          <w:szCs w:val="21"/>
        </w:rPr>
        <w:t xml:space="preserve">★3.1.2质量浓度的最大允许误差不超过±10%。</w:t>
      </w:r>
      <w:r/>
    </w:p>
    <w:p>
      <w:pPr>
        <w:ind w:firstLine="420"/>
        <w:jc w:val="left"/>
        <w:spacing w:line="360" w:lineRule="auto"/>
        <w:rPr>
          <w:rFonts w:ascii="宋体" w:hAnsi="宋体"/>
          <w:szCs w:val="21"/>
        </w:rPr>
      </w:pPr>
      <w:r>
        <w:rPr>
          <w:rFonts w:ascii="宋体" w:hAnsi="宋体"/>
          <w:szCs w:val="21"/>
        </w:rPr>
        <w:t xml:space="preserve">3.1.3能够支持多种气溶胶介质，便于后续项目能力提升。</w:t>
      </w:r>
      <w:r/>
    </w:p>
    <w:p>
      <w:pPr>
        <w:ind w:firstLine="420"/>
        <w:spacing w:line="360" w:lineRule="auto"/>
        <w:rPr>
          <w:rFonts w:ascii="宋体" w:hAnsi="宋体"/>
          <w:szCs w:val="21"/>
        </w:rPr>
      </w:pPr>
      <w:r>
        <w:rPr>
          <w:rFonts w:ascii="宋体" w:hAnsi="宋体"/>
          <w:szCs w:val="21"/>
        </w:rPr>
        <w:t xml:space="preserve">3.2其它要求</w:t>
      </w:r>
      <w:r/>
    </w:p>
    <w:p>
      <w:pPr>
        <w:ind w:firstLine="420"/>
        <w:spacing w:line="360" w:lineRule="auto"/>
        <w:rPr>
          <w:rFonts w:ascii="宋体" w:hAnsi="宋体"/>
          <w:szCs w:val="21"/>
        </w:rPr>
      </w:pPr>
      <w:r>
        <w:rPr>
          <w:rFonts w:ascii="宋体" w:hAnsi="宋体"/>
          <w:szCs w:val="21"/>
        </w:rPr>
        <w:t xml:space="preserve">▲3.2.1交付时带有国家级法定计量机构出具的溯源证书，证书内容应满足技术规格中标明的主要技术指标、参数、范围。</w:t>
      </w:r>
      <w:r/>
    </w:p>
    <w:p>
      <w:pPr>
        <w:numPr>
          <w:ilvl w:val="0"/>
          <w:numId w:val="6"/>
        </w:numPr>
        <w:ind w:firstLine="422"/>
        <w:spacing w:line="360" w:lineRule="auto"/>
        <w:rPr>
          <w:rFonts w:ascii="宋体" w:hAnsi="宋体"/>
          <w:b/>
          <w:szCs w:val="21"/>
        </w:rPr>
      </w:pPr>
      <w:r>
        <w:rPr>
          <w:rFonts w:ascii="宋体" w:hAnsi="宋体"/>
          <w:b/>
          <w:szCs w:val="21"/>
        </w:rPr>
        <w:t xml:space="preserve">便携式流量压力校准装置</w:t>
      </w:r>
      <w:r/>
    </w:p>
    <w:p>
      <w:pPr>
        <w:ind w:firstLine="420"/>
        <w:jc w:val="left"/>
        <w:spacing w:line="360" w:lineRule="auto"/>
        <w:rPr>
          <w:rFonts w:ascii="宋体" w:hAnsi="宋体"/>
          <w:szCs w:val="21"/>
        </w:rPr>
      </w:pPr>
      <w:r>
        <w:rPr>
          <w:rFonts w:ascii="宋体" w:hAnsi="宋体"/>
          <w:szCs w:val="21"/>
        </w:rPr>
        <w:t xml:space="preserve">4.</w:t>
      </w:r>
      <w:r>
        <w:rPr>
          <w:rFonts w:ascii="宋体" w:hAnsi="宋体"/>
          <w:szCs w:val="21"/>
          <w:lang w:val="it-IT"/>
        </w:rPr>
        <w:t xml:space="preserve">1</w:t>
      </w:r>
      <w:r>
        <w:rPr>
          <w:rFonts w:ascii="宋体" w:hAnsi="宋体"/>
          <w:szCs w:val="21"/>
        </w:rPr>
        <w:t xml:space="preserve">功能技术要求</w:t>
      </w:r>
      <w:r/>
    </w:p>
    <w:p>
      <w:pPr>
        <w:ind w:firstLine="420"/>
        <w:jc w:val="left"/>
        <w:spacing w:line="360" w:lineRule="auto"/>
        <w:rPr>
          <w:rFonts w:ascii="宋体" w:hAnsi="宋体"/>
          <w:szCs w:val="21"/>
        </w:rPr>
      </w:pPr>
      <w:r>
        <w:rPr>
          <w:rFonts w:ascii="宋体" w:hAnsi="宋体"/>
          <w:szCs w:val="21"/>
        </w:rPr>
        <w:t xml:space="preserve">★4.1.1 测量范围为(0～50)L/min；</w:t>
      </w:r>
      <w:r/>
    </w:p>
    <w:p>
      <w:pPr>
        <w:ind w:firstLine="420"/>
        <w:jc w:val="left"/>
        <w:spacing w:line="360" w:lineRule="auto"/>
        <w:rPr>
          <w:rFonts w:ascii="宋体" w:hAnsi="宋体"/>
          <w:szCs w:val="21"/>
        </w:rPr>
      </w:pPr>
      <w:r>
        <w:rPr>
          <w:rFonts w:ascii="宋体" w:hAnsi="宋体"/>
          <w:szCs w:val="21"/>
        </w:rPr>
        <w:t xml:space="preserve">★4.1.2最大允许误差不超过±1.0%。</w:t>
      </w:r>
      <w:r/>
    </w:p>
    <w:p>
      <w:pPr>
        <w:ind w:firstLine="420"/>
        <w:spacing w:line="360" w:lineRule="auto"/>
        <w:rPr>
          <w:rFonts w:ascii="宋体" w:hAnsi="宋体"/>
          <w:szCs w:val="21"/>
        </w:rPr>
      </w:pPr>
      <w:r>
        <w:rPr>
          <w:rFonts w:ascii="宋体" w:hAnsi="宋体"/>
          <w:szCs w:val="21"/>
        </w:rPr>
        <w:t xml:space="preserve">4.2其它要求</w:t>
      </w:r>
      <w:r/>
    </w:p>
    <w:p>
      <w:pPr>
        <w:ind w:firstLine="420"/>
        <w:spacing w:line="360" w:lineRule="auto"/>
        <w:rPr>
          <w:rFonts w:ascii="宋体" w:hAnsi="宋体"/>
          <w:szCs w:val="21"/>
        </w:rPr>
      </w:pPr>
      <w:r>
        <w:rPr>
          <w:rFonts w:ascii="宋体" w:hAnsi="宋体"/>
          <w:szCs w:val="21"/>
        </w:rPr>
        <w:t xml:space="preserve">4.2.1交付时带有国家级法定计量机构出具的溯源证书，证书内容应满足技术规格中标明的主要技术指标、参数、范围。</w:t>
      </w:r>
      <w:r/>
    </w:p>
    <w:p>
      <w:pPr>
        <w:numPr>
          <w:ilvl w:val="0"/>
          <w:numId w:val="6"/>
        </w:numPr>
        <w:ind w:firstLine="422"/>
        <w:spacing w:line="360" w:lineRule="auto"/>
        <w:rPr>
          <w:rFonts w:ascii="宋体" w:hAnsi="宋体"/>
          <w:b/>
          <w:szCs w:val="21"/>
        </w:rPr>
      </w:pPr>
      <w:r>
        <w:rPr>
          <w:rFonts w:ascii="宋体" w:hAnsi="宋体"/>
          <w:b/>
          <w:szCs w:val="21"/>
        </w:rPr>
        <w:t xml:space="preserve">高低温湿热试验箱</w:t>
      </w:r>
      <w:r/>
    </w:p>
    <w:p>
      <w:pPr>
        <w:ind w:firstLine="420"/>
        <w:jc w:val="left"/>
        <w:spacing w:line="360" w:lineRule="auto"/>
        <w:rPr>
          <w:rFonts w:ascii="宋体" w:hAnsi="宋体"/>
          <w:szCs w:val="21"/>
        </w:rPr>
      </w:pPr>
      <w:r>
        <w:rPr>
          <w:rFonts w:ascii="宋体" w:hAnsi="宋体"/>
          <w:szCs w:val="21"/>
        </w:rPr>
        <w:t xml:space="preserve">5.1功能技术要求</w:t>
      </w:r>
      <w:r/>
    </w:p>
    <w:p>
      <w:pPr>
        <w:numPr>
          <w:ilvl w:val="1"/>
          <w:numId w:val="7"/>
        </w:numPr>
        <w:ind w:firstLine="420"/>
        <w:jc w:val="left"/>
        <w:spacing w:line="360" w:lineRule="auto"/>
        <w:rPr>
          <w:rFonts w:ascii="宋体" w:hAnsi="宋体"/>
          <w:szCs w:val="21"/>
        </w:rPr>
      </w:pPr>
      <w:r>
        <w:rPr>
          <w:rFonts w:ascii="宋体" w:hAnsi="宋体"/>
          <w:szCs w:val="21"/>
        </w:rPr>
        <w:t xml:space="preserve">仪器需带可视窗口及防雾功能，便实时观察样品状态；</w:t>
      </w:r>
      <w:r/>
    </w:p>
    <w:p>
      <w:pPr>
        <w:numPr>
          <w:ilvl w:val="1"/>
          <w:numId w:val="7"/>
        </w:numPr>
        <w:ind w:firstLine="420"/>
        <w:jc w:val="left"/>
        <w:spacing w:line="360" w:lineRule="auto"/>
        <w:rPr>
          <w:rFonts w:ascii="宋体" w:hAnsi="宋体"/>
          <w:szCs w:val="21"/>
        </w:rPr>
      </w:pPr>
      <w:r>
        <w:rPr>
          <w:rFonts w:ascii="宋体" w:hAnsi="宋体"/>
          <w:szCs w:val="21"/>
        </w:rPr>
        <w:t xml:space="preserve">内室有效容积不小于1立方米，便于批次样品检测。</w:t>
      </w:r>
      <w:r/>
    </w:p>
    <w:p>
      <w:pPr>
        <w:ind w:firstLine="420"/>
        <w:jc w:val="left"/>
        <w:spacing w:before="156" w:line="360" w:lineRule="auto"/>
        <w:rPr>
          <w:rFonts w:ascii="宋体" w:hAnsi="宋体"/>
          <w:szCs w:val="21"/>
          <w:highlight w:val="green"/>
        </w:rPr>
      </w:pPr>
      <w:r>
        <w:rPr>
          <w:rFonts w:ascii="宋体" w:hAnsi="宋体"/>
          <w:szCs w:val="21"/>
        </w:rPr>
        <w:t xml:space="preserve">2.</w:t>
      </w:r>
      <w:r>
        <w:rPr>
          <w:rFonts w:ascii="宋体" w:hAnsi="宋体"/>
          <w:szCs w:val="21"/>
          <w:lang w:val="it-IT"/>
        </w:rPr>
        <w:t xml:space="preserve">技术</w:t>
      </w:r>
      <w:r>
        <w:rPr>
          <w:rFonts w:ascii="宋体" w:hAnsi="宋体"/>
          <w:szCs w:val="21"/>
        </w:rPr>
        <w:t xml:space="preserve">要求</w:t>
      </w:r>
      <w:r/>
    </w:p>
    <w:p>
      <w:pPr>
        <w:contextualSpacing/>
        <w:ind w:firstLine="420"/>
        <w:spacing w:line="360" w:lineRule="auto"/>
        <w:rPr>
          <w:rFonts w:ascii="宋体" w:hAnsi="宋体"/>
          <w:szCs w:val="21"/>
        </w:rPr>
      </w:pPr>
      <w:r>
        <w:rPr>
          <w:rFonts w:ascii="宋体" w:hAnsi="宋体"/>
          <w:szCs w:val="21"/>
        </w:rPr>
        <w:t xml:space="preserve">★2.1温度恒定在-40℃、-10℃、0℃、5℃、35℃、40℃、55℃、70 ℃时，温度偏差不超过±2℃；</w:t>
      </w:r>
      <w:r/>
    </w:p>
    <w:p>
      <w:pPr>
        <w:contextualSpacing/>
        <w:ind w:firstLine="420"/>
        <w:spacing w:line="360" w:lineRule="auto"/>
        <w:rPr>
          <w:rFonts w:ascii="宋体" w:hAnsi="宋体"/>
          <w:szCs w:val="21"/>
        </w:rPr>
      </w:pPr>
      <w:r>
        <w:rPr>
          <w:rFonts w:ascii="宋体" w:hAnsi="宋体"/>
          <w:szCs w:val="21"/>
        </w:rPr>
        <w:t xml:space="preserve">★2.2温度恒定在40 ℃，相对湿度恒定在93%时,湿度偏差不超过±3%。</w:t>
      </w:r>
      <w:r/>
    </w:p>
    <w:p>
      <w:pPr>
        <w:contextualSpacing/>
        <w:ind w:firstLine="420"/>
        <w:spacing w:line="360" w:lineRule="auto"/>
        <w:rPr>
          <w:rFonts w:ascii="宋体" w:hAnsi="宋体"/>
          <w:szCs w:val="21"/>
        </w:rPr>
      </w:pPr>
      <w:r>
        <w:rPr>
          <w:rFonts w:ascii="宋体" w:hAnsi="宋体"/>
          <w:szCs w:val="21"/>
        </w:rPr>
        <w:t xml:space="preserve">2.3交付时需带有资质的省级及以上授权机构出具的溯源证书，证书内容应满足技术规格中标明的主要技术指标、参数、范围。</w:t>
      </w:r>
      <w:r/>
    </w:p>
    <w:p>
      <w:pPr>
        <w:contextualSpacing/>
        <w:ind w:firstLine="422"/>
        <w:spacing w:line="360" w:lineRule="auto"/>
        <w:rPr>
          <w:rFonts w:ascii="宋体" w:hAnsi="宋体"/>
          <w:b/>
          <w:bCs/>
          <w:szCs w:val="21"/>
        </w:rPr>
      </w:pPr>
      <w:r>
        <w:rPr>
          <w:rFonts w:ascii="宋体" w:hAnsi="宋体"/>
          <w:b/>
          <w:bCs/>
          <w:szCs w:val="21"/>
        </w:rPr>
        <w:t xml:space="preserve">（四）采购标的的数量、采购项目交付或者实施的时间和地点：</w:t>
      </w:r>
      <w:r/>
    </w:p>
    <w:p>
      <w:pPr>
        <w:contextualSpacing/>
        <w:ind w:firstLine="420"/>
        <w:jc w:val="left"/>
        <w:spacing w:line="360" w:lineRule="auto"/>
        <w:rPr>
          <w:rFonts w:ascii="宋体" w:hAnsi="宋体"/>
          <w:bCs/>
          <w:szCs w:val="21"/>
        </w:rPr>
      </w:pPr>
      <w:r>
        <w:rPr>
          <w:rFonts w:ascii="宋体" w:hAnsi="宋体"/>
          <w:bCs/>
          <w:szCs w:val="21"/>
        </w:rPr>
        <w:t xml:space="preserve">1.采购数量：可燃气体探测器检测装置1套；气溶胶发雾混匀装置1台；精密气溶胶光度计1台；便携式流量压力校准装置1台；高低温湿热试验箱2台。</w:t>
      </w:r>
      <w:r/>
    </w:p>
    <w:p>
      <w:pPr>
        <w:contextualSpacing/>
        <w:ind w:firstLine="420"/>
        <w:jc w:val="left"/>
        <w:spacing w:line="360" w:lineRule="auto"/>
        <w:rPr>
          <w:rFonts w:ascii="宋体" w:hAnsi="宋体"/>
          <w:bCs/>
          <w:szCs w:val="21"/>
        </w:rPr>
      </w:pPr>
      <w:r>
        <w:rPr>
          <w:rFonts w:ascii="宋体" w:hAnsi="宋体"/>
          <w:bCs/>
          <w:szCs w:val="21"/>
        </w:rPr>
        <w:t xml:space="preserve">2.质 保 期：2年</w:t>
      </w:r>
      <w:r/>
    </w:p>
    <w:p>
      <w:pPr>
        <w:contextualSpacing/>
        <w:ind w:firstLine="420"/>
        <w:jc w:val="left"/>
        <w:spacing w:line="360" w:lineRule="auto"/>
        <w:rPr>
          <w:rFonts w:ascii="宋体" w:hAnsi="宋体"/>
          <w:bCs/>
          <w:szCs w:val="21"/>
        </w:rPr>
      </w:pPr>
      <w:r>
        <w:rPr>
          <w:rFonts w:ascii="宋体" w:hAnsi="宋体"/>
          <w:bCs/>
          <w:szCs w:val="21"/>
        </w:rPr>
        <w:t xml:space="preserve">3.交付使用时间：合同签订生效后90日历天内完成供货、安装、调试，交付采购人使用。</w:t>
      </w:r>
      <w:r/>
    </w:p>
    <w:p>
      <w:pPr>
        <w:contextualSpacing/>
        <w:ind w:firstLine="420"/>
        <w:jc w:val="left"/>
        <w:spacing w:line="360" w:lineRule="auto"/>
        <w:rPr>
          <w:rFonts w:ascii="宋体" w:hAnsi="宋体"/>
          <w:bCs/>
          <w:szCs w:val="21"/>
        </w:rPr>
      </w:pPr>
      <w:r>
        <w:rPr>
          <w:rFonts w:ascii="宋体" w:hAnsi="宋体"/>
          <w:bCs/>
          <w:szCs w:val="21"/>
        </w:rPr>
        <w:t xml:space="preserve">4.本项目实施地点：无锡市春新东路8号（无锡市检验检测认证研究院）。</w:t>
      </w:r>
      <w:r/>
    </w:p>
    <w:p>
      <w:pPr>
        <w:contextualSpacing/>
        <w:ind w:firstLine="422"/>
        <w:spacing w:line="360" w:lineRule="auto"/>
        <w:rPr>
          <w:rFonts w:ascii="宋体" w:hAnsi="宋体"/>
          <w:b/>
          <w:bCs/>
          <w:szCs w:val="21"/>
        </w:rPr>
      </w:pPr>
      <w:r>
        <w:rPr>
          <w:rFonts w:ascii="宋体" w:hAnsi="宋体"/>
          <w:b/>
          <w:bCs/>
          <w:szCs w:val="21"/>
        </w:rPr>
        <w:t xml:space="preserve">（五）采购标的的其他技术、服务等要求：</w:t>
      </w:r>
      <w:bookmarkEnd w:id="23"/>
      <w:r/>
      <w:r/>
    </w:p>
    <w:p>
      <w:pPr>
        <w:contextualSpacing/>
        <w:ind w:firstLine="420"/>
        <w:jc w:val="left"/>
        <w:spacing w:line="360" w:lineRule="auto"/>
        <w:rPr>
          <w:rFonts w:ascii="宋体" w:hAnsi="宋体"/>
          <w:bCs/>
          <w:szCs w:val="21"/>
        </w:rPr>
      </w:pPr>
      <w:r>
        <w:rPr>
          <w:rFonts w:ascii="宋体" w:hAnsi="宋体"/>
          <w:bCs/>
          <w:szCs w:val="21"/>
        </w:rPr>
        <w:t xml:space="preserve">无。</w:t>
      </w:r>
      <w:r/>
    </w:p>
    <w:p>
      <w:pPr>
        <w:spacing w:after="0" w:line="240" w:lineRule="auto"/>
        <w:tabs>
          <w:tab w:val="center" w:pos="4153" w:leader="none"/>
          <w:tab w:val="right" w:pos="8306"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jc w:val="left"/>
        <w:spacing w:after="0"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36"/>
        <w:numPr>
          <w:ilvl w:val="0"/>
          <w:numId w:val="0"/>
        </w:numPr>
        <w:ind w:firstLine="200"/>
        <w:spacing w:line="276"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第五章 合同主要条款及格式</w:t>
      </w:r>
      <w:bookmarkEnd w:id="21"/>
      <w:r/>
      <w:bookmarkEnd w:id="22"/>
      <w:r/>
      <w:r/>
    </w:p>
    <w:p>
      <w:pPr>
        <w:jc w:val="left"/>
        <w:spacing w:line="360" w:lineRule="auto"/>
        <w:rPr>
          <w:b/>
          <w:bCs/>
          <w:color w:val="000000" w:themeColor="text1"/>
          <w:szCs w:val="21"/>
          <w14:textFill>
            <w14:solidFill>
              <w14:schemeClr w14:val="tx1"/>
            </w14:solidFill>
          </w14:textFill>
        </w:rPr>
      </w:pPr>
      <w:r/>
      <w:bookmarkStart w:id="24" w:name="_Toc245033596"/>
      <w:r>
        <w:rPr>
          <w:b/>
          <w:bCs/>
          <w:color w:val="000000" w:themeColor="text1"/>
          <w:szCs w:val="21"/>
          <w14:textFill>
            <w14:solidFill>
              <w14:schemeClr w14:val="tx1"/>
            </w14:solidFill>
          </w14:textFill>
        </w:rPr>
        <w:t xml:space="preserve">甲方：</w:t>
      </w:r>
      <w:r/>
    </w:p>
    <w:p>
      <w:pP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乙方：</w:t>
      </w:r>
      <w:r/>
    </w:p>
    <w:p>
      <w:pP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代理机构：</w:t>
      </w:r>
      <w:r/>
    </w:p>
    <w:p>
      <w:pPr>
        <w:jc w:val="cente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第一部分．合同的一般性条款</w:t>
      </w:r>
      <w:r/>
    </w:p>
    <w:p>
      <w:pPr>
        <w:spacing w:line="400" w:lineRule="exact"/>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一、合同文件</w:t>
      </w:r>
      <w:bookmarkEnd w:id="24"/>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1、合同文件适用法律</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 适用于合同文件的法律是中华人民共和国现行法律、法规及甲方所在地的地方性法规。</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2、合同文件组成和解释顺序</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 合同文件的组成和解释顺序如下：</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2.1.1 合同的特殊性条款</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2.1.2 合同的一般性条款</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2.1.3 洽商、变更等明确双方权利义务的纪要、协议</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2.1.4 中标通知书、投标书和招标文件</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2.1.5 有关图纸</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2.1.6 标准、规范和其他有关技术资料、技术要求</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2.2 合同的特殊性条款的效率优于合同的一般性条款的效力</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3、合同文件使用文字</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 合同文件使用中文书写、解释和说明</w:t>
      </w:r>
      <w:r/>
    </w:p>
    <w:p>
      <w:pPr>
        <w:ind w:left="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3.2 合同文件使用特殊性条款约定的国家标准和规范；国家没有相应标准、规范时，可</w:t>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使用特殊性条款约定的行业或甲方所在地地方的标准、规范。甲方应按特殊性条款约定的时间向乙方提供一式两份约定的标准和规范。</w:t>
      </w:r>
      <w:r/>
    </w:p>
    <w:p>
      <w:pPr>
        <w:spacing w:line="400" w:lineRule="exact"/>
        <w:rPr>
          <w:b/>
          <w:bCs/>
          <w:color w:val="000000" w:themeColor="text1"/>
          <w:szCs w:val="21"/>
          <w14:textFill>
            <w14:solidFill>
              <w14:schemeClr w14:val="tx1"/>
            </w14:solidFill>
          </w14:textFill>
        </w:rPr>
      </w:pPr>
      <w:r/>
      <w:bookmarkStart w:id="25" w:name="_Toc245033597"/>
      <w:r>
        <w:rPr>
          <w:b/>
          <w:bCs/>
          <w:color w:val="000000" w:themeColor="text1"/>
          <w:szCs w:val="21"/>
          <w14:textFill>
            <w14:solidFill>
              <w14:schemeClr w14:val="tx1"/>
            </w14:solidFill>
          </w14:textFill>
        </w:rPr>
        <w:t xml:space="preserve">二、标的物的一般条款</w:t>
      </w:r>
      <w:bookmarkEnd w:id="25"/>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4、完整物权</w:t>
      </w:r>
      <w:r/>
    </w:p>
    <w:p>
      <w:pPr>
        <w:ind w:firstLine="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对于出卖的标的物，乙方应当拥有完整物权，并且乙方负有保证第三人不得向甲方主张任何权利（包括知识产权）的义务。</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5、质量保证</w:t>
      </w:r>
      <w:r/>
    </w:p>
    <w:p>
      <w:pPr>
        <w:ind w:firstLine="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5.1 乙方应保证所供标的物是全新的，未使用过的，并且是非长期积压的库存商品，完</w:t>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全符合合同规定的质量、规格和性能的要求，乙方应保证其提供的标的物在正确安装，正确使用和保养条件下，在其标称的使用寿命期内应具有满意的性能。在乙方承诺的质量保证期限内，乙方应对由于设计、工艺或材料的缺陷及伴随服务而造成的任何不足或故障负责。</w:t>
      </w:r>
      <w:r/>
    </w:p>
    <w:p>
      <w:pPr>
        <w:ind w:firstLine="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5.2 根据甲方按检验标准自己检验的结果或当地技监部门的检验结果，或者在质量保证</w:t>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期内，如果标的物的数量、质量或规格与合同不符或证实标的物是具有缺陷的，包括潜在缺陷或使用不符合要求的材料等，甲方应尽快以书面形式通知乙方并提出索赔。</w:t>
      </w:r>
      <w:r/>
    </w:p>
    <w:p>
      <w:pPr>
        <w:ind w:firstLine="420"/>
        <w:spacing w:line="400" w:lineRule="exact"/>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5.3 除合同特殊条款规定外，合同条款中标的物的质量保证期均自标的物通过最终验收之日起计算，</w:t>
      </w:r>
      <w:r>
        <w:rPr>
          <w:b/>
          <w:color w:val="000000" w:themeColor="text1"/>
          <w:szCs w:val="21"/>
          <w14:textFill>
            <w14:solidFill>
              <w14:schemeClr w14:val="tx1"/>
            </w14:solidFill>
          </w14:textFill>
        </w:rPr>
        <w:t xml:space="preserve">且质保期需满足招标文件要求。</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6、包装</w:t>
      </w:r>
      <w:r/>
    </w:p>
    <w:p>
      <w:pPr>
        <w:ind w:firstLine="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商品，快递包装按政府采购需求标准（试行）执行，详见合同附件。</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7、伴随服务</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 乙方除应履行按期按量交付合格标的物的义务之外，还应提供下列服务：</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7.1.1 标的物的现场安装、启动、调试、监督（如果必须安装、调试的话）；</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7.1.2 提供标的物的组装和一般维修所必需的工具；</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7.1.3 在合同规定的期限内对所提供标的物实行运行监督、维修服务的前提条件是该服务并不能免除乙方在质量保证期内所承担的义务；</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7.1.4  对甲方技术人员的技术指导或培训。</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7.2 除合同另有规定之外，伴随服务的费用均已含在合同价款中，甲方不再另行进行支付。</w:t>
      </w:r>
      <w:r/>
    </w:p>
    <w:p>
      <w:pPr>
        <w:spacing w:line="400" w:lineRule="exact"/>
        <w:rPr>
          <w:b/>
          <w:bCs/>
          <w:color w:val="000000" w:themeColor="text1"/>
          <w:szCs w:val="21"/>
          <w14:textFill>
            <w14:solidFill>
              <w14:schemeClr w14:val="tx1"/>
            </w14:solidFill>
          </w14:textFill>
        </w:rPr>
      </w:pPr>
      <w:r/>
      <w:bookmarkStart w:id="26" w:name="_Toc245033598"/>
      <w:r>
        <w:rPr>
          <w:b/>
          <w:bCs/>
          <w:color w:val="000000" w:themeColor="text1"/>
          <w:szCs w:val="21"/>
          <w14:textFill>
            <w14:solidFill>
              <w14:schemeClr w14:val="tx1"/>
            </w14:solidFill>
          </w14:textFill>
        </w:rPr>
        <w:t xml:space="preserve">三、标的物的交付、检验和验收</w:t>
      </w:r>
      <w:bookmarkEnd w:id="26"/>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8、标的物的交付</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8.1 标的物的所有权自标的物交付时转移。</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8.2 乙方应当按照约定的期限和约定的地点交付标的物。</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8.3 乙方应当按照约定或者交易习惯向甲方交付提取标的物的单证以外的有关单证和资料。</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9、检验和验收</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9.2 甲方根据合同规定的内容和验收标准进行验收，同时比较乙方出具的检验证明,经检验无误后出具验收合格证明，该证明作为最终付款所需文件的组成部分。（本项目国产产品均需提供国家相关质量监督检验机构出具的产品检验报告。）</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9.3 验收期限自标的物交付之日起30个工作日内。特殊情况需延长的，双方应在合同的特殊条款中约定。</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9.4 如双方对验收结果有分歧，则以甲方委托的第三方检验结果为准，检验费用由有过失的一方支付。</w:t>
      </w:r>
      <w:r/>
    </w:p>
    <w:p>
      <w:pPr>
        <w:spacing w:line="400" w:lineRule="exact"/>
        <w:rPr>
          <w:b/>
          <w:bCs/>
          <w:color w:val="000000" w:themeColor="text1"/>
          <w:szCs w:val="21"/>
          <w14:textFill>
            <w14:solidFill>
              <w14:schemeClr w14:val="tx1"/>
            </w14:solidFill>
          </w14:textFill>
        </w:rPr>
      </w:pPr>
      <w:r/>
      <w:bookmarkStart w:id="27" w:name="_Toc245033599"/>
      <w:r>
        <w:rPr>
          <w:b/>
          <w:bCs/>
          <w:color w:val="000000" w:themeColor="text1"/>
          <w:szCs w:val="21"/>
          <w14:textFill>
            <w14:solidFill>
              <w14:schemeClr w14:val="tx1"/>
            </w14:solidFill>
          </w14:textFill>
        </w:rPr>
        <w:t xml:space="preserve">四、对标的物提出异议的时间和办法</w:t>
      </w:r>
      <w:bookmarkEnd w:id="27"/>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10、对标的物提出异议的时间和办法</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10.1 甲方在验收过程中，应当与双方约定的检验期间内将标的物的数量或质量不符合规定的情形及处理方式以书面形式通知乙方。</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10.2 如甲方在验收期满后既不出具验收合格证明又未提出书面异议的视为乙方所交标的物符合合同规定。</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10.3 乙方应在收到甲方书面异议后七天内负责处理问题，否则将视为默认甲方提出的异议和处理意见。</w:t>
      </w:r>
      <w:r/>
    </w:p>
    <w:p>
      <w:pPr>
        <w:spacing w:line="400" w:lineRule="exact"/>
        <w:rPr>
          <w:b/>
          <w:bCs/>
          <w:color w:val="000000" w:themeColor="text1"/>
          <w:szCs w:val="21"/>
          <w14:textFill>
            <w14:solidFill>
              <w14:schemeClr w14:val="tx1"/>
            </w14:solidFill>
          </w14:textFill>
        </w:rPr>
      </w:pPr>
      <w:r/>
      <w:bookmarkStart w:id="28" w:name="_Toc245033600"/>
      <w:r>
        <w:rPr>
          <w:b/>
          <w:bCs/>
          <w:color w:val="000000" w:themeColor="text1"/>
          <w:szCs w:val="21"/>
          <w14:textFill>
            <w14:solidFill>
              <w14:schemeClr w14:val="tx1"/>
            </w14:solidFill>
          </w14:textFill>
        </w:rPr>
        <w:t xml:space="preserve">五、合同价款和支付</w:t>
      </w:r>
      <w:bookmarkEnd w:id="28"/>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11.1 本合同的结算货币为人民币，总价款为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，单位元，大写：</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，含税。</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11.2 乙方应按照双方签订的合同规定交货并在合同特殊条款规定的期限内持下列单据结算货款。</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11.2.1 合格的销售发票</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11.2.2 甲方盖章签收后的送货回单和验收合格证明。</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11.3 甲方应按合同特殊条款规定的期限和方式付款。</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11.4 根据现行税法对甲方征收的与本合同有关的一切税费均由甲方承担；根据现行税法对乙方征收的与本合同有关的一切税费均由乙方承担。</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11.5乙方全部履行合同，甲方在收到乙方的付款通知并审定无误后十五个工作日内按期付款。 </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11.6乙方提前交货的，甲方接货后，仍可按合同规定的付款时间付款。</w:t>
      </w:r>
      <w:r/>
    </w:p>
    <w:p>
      <w:pPr>
        <w:spacing w:line="400" w:lineRule="exact"/>
        <w:rPr>
          <w:b/>
          <w:bCs/>
          <w:color w:val="000000" w:themeColor="text1"/>
          <w:szCs w:val="21"/>
          <w14:textFill>
            <w14:solidFill>
              <w14:schemeClr w14:val="tx1"/>
            </w14:solidFill>
          </w14:textFill>
        </w:rPr>
      </w:pPr>
      <w:r/>
      <w:bookmarkStart w:id="29" w:name="_Toc245033601"/>
      <w:r>
        <w:rPr>
          <w:b/>
          <w:bCs/>
          <w:color w:val="000000" w:themeColor="text1"/>
          <w:szCs w:val="21"/>
          <w14:textFill>
            <w14:solidFill>
              <w14:schemeClr w14:val="tx1"/>
            </w14:solidFill>
          </w14:textFill>
        </w:rPr>
        <w:t xml:space="preserve">六、违约责任</w:t>
      </w:r>
      <w:bookmarkEnd w:id="29"/>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12、违约责任</w:t>
      </w:r>
      <w:r/>
    </w:p>
    <w:p>
      <w:pPr>
        <w:ind w:firstLine="42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合同乙方不履行合同义务或者履行合同义务不符合规定的，应当承担继续履行、采取补救措施或者赔偿损失等违约责任。</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13、甲方违约责任</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13.1 在合同生效后，甲方要求退货的，应向乙方偿付合同总价款的5%，作为违约金，</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违约金不足以补偿损失的，乙方有权要求甲方补足。</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13.2 甲方逾期付款的应按照逾期付款金额的每天万分之四支付逾期付款违约金。</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13.3 甲方违反合同规定，拒绝接受乙方交付的合格标的物，应当承担乙方由此造成的</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损失。</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14、乙方违约责任</w:t>
      </w:r>
      <w:r/>
    </w:p>
    <w:p>
      <w:pPr>
        <w:ind w:left="361" w:hanging="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14.1 乙方不能交货（逾期超过十五天视为不能交货），或交货不合格从而影响甲方按期正常使用的，应向甲方偿付合同总价款5%的违约金，违约金不足以补偿损失的甲方有权要求乙方补足。</w:t>
      </w:r>
      <w:r/>
    </w:p>
    <w:p>
      <w:pPr>
        <w:ind w:left="361" w:hanging="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15、不可抗力</w:t>
      </w:r>
      <w:r/>
    </w:p>
    <w:p>
      <w:pPr>
        <w:ind w:left="361" w:hanging="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15.1 因不可抗力不能履行合同的，根据不可抗力的影响，部分或者全部免除责任。但合同一方延迟履行后发生不可抗力的，不能免除责任。</w:t>
      </w:r>
      <w:r/>
    </w:p>
    <w:p>
      <w:pPr>
        <w:ind w:left="361" w:hanging="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15.2 合同一方因不可抗力不能履行合同的，应当及时通知对方，以减轻可能给对方造成的损失，并应当在合理期限内提供证明。</w:t>
      </w:r>
      <w:r/>
    </w:p>
    <w:p>
      <w:pPr>
        <w:spacing w:line="400" w:lineRule="exact"/>
        <w:rPr>
          <w:b/>
          <w:bCs/>
          <w:color w:val="000000" w:themeColor="text1"/>
          <w:szCs w:val="21"/>
          <w14:textFill>
            <w14:solidFill>
              <w14:schemeClr w14:val="tx1"/>
            </w14:solidFill>
          </w14:textFill>
        </w:rPr>
      </w:pPr>
      <w:r/>
      <w:bookmarkStart w:id="30" w:name="_Toc245033602"/>
      <w:r>
        <w:rPr>
          <w:b/>
          <w:bCs/>
          <w:color w:val="000000" w:themeColor="text1"/>
          <w:szCs w:val="21"/>
          <w14:textFill>
            <w14:solidFill>
              <w14:schemeClr w14:val="tx1"/>
            </w14:solidFill>
          </w14:textFill>
        </w:rPr>
        <w:t xml:space="preserve">七、索赔</w:t>
      </w:r>
      <w:bookmarkEnd w:id="30"/>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16、索赔</w:t>
      </w:r>
      <w:r/>
    </w:p>
    <w:p>
      <w:pPr>
        <w:ind w:firstLine="420"/>
        <w:jc w:val="left"/>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如在设备交货，安装</w:t>
      </w:r>
      <w:r>
        <w:rPr>
          <w:color w:val="000000" w:themeColor="text1"/>
          <w:szCs w:val="21"/>
          <w:lang w:val="zh-CN"/>
          <w14:textFill>
            <w14:solidFill>
              <w14:schemeClr w14:val="tx1"/>
            </w14:solidFill>
          </w14:textFill>
        </w:rPr>
        <w:t xml:space="preserve">，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2—5天内应免费维修或更换有缺陷的货物或部件。如果乙方在收到通知后7天内没有弥补缺陷，甲方可采取必要的补救措施，但风险和费用将由乙方承担，同时甲方对乙方行使的其他权利不受影响。索赔方式除上述规定之外，甲方还有权利选择以下方式进行索赔：</w:t>
      </w:r>
      <w:r/>
    </w:p>
    <w:p>
      <w:pPr>
        <w:ind w:firstLine="420"/>
        <w:jc w:val="left"/>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16.1乙方同意退货，并双倍返还定金及甲方已支付的合同款，并承担由此发生的一切损失和费用，包括利息，银行手续费，运费，保险费，仓储费，装卸费以及为保护退回货物所需的其他必要费用。</w:t>
      </w:r>
      <w:r/>
    </w:p>
    <w:p>
      <w:pPr>
        <w:ind w:firstLine="420"/>
        <w:jc w:val="left"/>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16.2根据货物的低劣程度，损坏程度以及甲方遭受损失的数额，经甲乙双方商定降低货物的价格。</w:t>
      </w:r>
      <w:r/>
    </w:p>
    <w:p>
      <w:pPr>
        <w:ind w:firstLine="420"/>
        <w:jc w:val="left"/>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16.3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16.4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spacing w:line="400" w:lineRule="exact"/>
        <w:rPr>
          <w:b/>
          <w:bCs/>
          <w:color w:val="000000" w:themeColor="text1"/>
          <w:szCs w:val="21"/>
          <w14:textFill>
            <w14:solidFill>
              <w14:schemeClr w14:val="tx1"/>
            </w14:solidFill>
          </w14:textFill>
        </w:rPr>
      </w:pPr>
      <w:r/>
      <w:bookmarkStart w:id="31" w:name="_Toc245033603"/>
      <w:r>
        <w:rPr>
          <w:b/>
          <w:bCs/>
          <w:color w:val="000000" w:themeColor="text1"/>
          <w:szCs w:val="21"/>
          <w14:textFill>
            <w14:solidFill>
              <w14:schemeClr w14:val="tx1"/>
            </w14:solidFill>
          </w14:textFill>
        </w:rPr>
        <w:t xml:space="preserve">八、履约保证金</w:t>
      </w:r>
      <w:bookmarkEnd w:id="31"/>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17、履约保证金 </w:t>
      </w:r>
      <w:r/>
    </w:p>
    <w:p>
      <w:pPr>
        <w:ind w:firstLine="420"/>
        <w:spacing w:line="400" w:lineRule="exact"/>
        <w:rPr>
          <w:color w:val="000000" w:themeColor="text1"/>
          <w:szCs w:val="21"/>
          <w:lang w:val="zh-CN"/>
          <w14:textFill>
            <w14:solidFill>
              <w14:schemeClr w14:val="tx1"/>
            </w14:solidFill>
          </w14:textFill>
        </w:rPr>
      </w:pPr>
      <w:r>
        <w:rPr>
          <w:color w:val="000000" w:themeColor="text1"/>
          <w:szCs w:val="21"/>
          <w14:textFill>
            <w14:solidFill>
              <w14:schemeClr w14:val="tx1"/>
            </w14:solidFill>
          </w14:textFill>
        </w:rPr>
        <w:t xml:space="preserve">本项目不约定履约保证金</w:t>
      </w:r>
      <w:r>
        <w:rPr>
          <w:color w:val="000000" w:themeColor="text1"/>
          <w:szCs w:val="21"/>
          <w:lang w:val="zh-CN"/>
          <w14:textFill>
            <w14:solidFill>
              <w14:schemeClr w14:val="tx1"/>
            </w14:solidFill>
          </w14:textFill>
        </w:rPr>
        <w:t xml:space="preserve">。</w:t>
      </w:r>
      <w:r/>
    </w:p>
    <w:p>
      <w:pPr>
        <w:spacing w:line="400" w:lineRule="exact"/>
        <w:rPr>
          <w:b/>
          <w:bCs/>
          <w:color w:val="000000" w:themeColor="text1"/>
          <w:szCs w:val="21"/>
          <w14:textFill>
            <w14:solidFill>
              <w14:schemeClr w14:val="tx1"/>
            </w14:solidFill>
          </w14:textFill>
        </w:rPr>
      </w:pPr>
      <w:r/>
      <w:bookmarkStart w:id="32" w:name="_Toc245033604"/>
      <w:r>
        <w:rPr>
          <w:b/>
          <w:bCs/>
          <w:color w:val="000000" w:themeColor="text1"/>
          <w:szCs w:val="21"/>
          <w14:textFill>
            <w14:solidFill>
              <w14:schemeClr w14:val="tx1"/>
            </w14:solidFill>
          </w14:textFill>
        </w:rPr>
        <w:t xml:space="preserve">九、合同的解除和转让</w:t>
      </w:r>
      <w:bookmarkEnd w:id="32"/>
      <w:r/>
      <w:r/>
    </w:p>
    <w:p>
      <w:pPr>
        <w:ind w:firstLine="238"/>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18、合同的解除</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18.1 甲方和乙方协商一致，可以解除合同。</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18.2 有下列情形之一，合同一方可以解除合同：</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18.2.1 因不可抗力致使不能实现合同目的，未受不可抗力影响的一方有权解除合同；</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18.2.2 因合同一方违约导致合同不能履行，另一方有权解除合同。</w:t>
      </w:r>
      <w:r/>
    </w:p>
    <w:p>
      <w:pPr>
        <w:ind w:firstLine="268"/>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18.3 有权解除合同的一方，应当在违约事实或不可抗力发生之后三十天内书面通知对方以主张解除合同，合同在书面通知到达对方时解除。</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19、合同的转让</w:t>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 合同的部分和全部都不得转让。</w:t>
      </w:r>
      <w:r/>
    </w:p>
    <w:p>
      <w:pPr>
        <w:spacing w:line="400" w:lineRule="exact"/>
        <w:rPr>
          <w:b/>
          <w:bCs/>
          <w:color w:val="000000" w:themeColor="text1"/>
          <w:szCs w:val="21"/>
          <w14:textFill>
            <w14:solidFill>
              <w14:schemeClr w14:val="tx1"/>
            </w14:solidFill>
          </w14:textFill>
        </w:rPr>
      </w:pPr>
      <w:r/>
      <w:bookmarkStart w:id="33" w:name="_Toc245033605"/>
      <w:r>
        <w:rPr>
          <w:b/>
          <w:bCs/>
          <w:color w:val="000000" w:themeColor="text1"/>
          <w:szCs w:val="21"/>
          <w14:textFill>
            <w14:solidFill>
              <w14:schemeClr w14:val="tx1"/>
            </w14:solidFill>
          </w14:textFill>
        </w:rPr>
        <w:t xml:space="preserve">十、合同的生效</w:t>
      </w:r>
      <w:bookmarkEnd w:id="33"/>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20、合同的生效</w:t>
      </w:r>
      <w:r/>
    </w:p>
    <w:p>
      <w:pPr>
        <w:ind w:firstLine="425"/>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本合同在双方签字</w:t>
      </w:r>
      <w:r>
        <w:rPr>
          <w:color w:val="000000" w:themeColor="text1"/>
          <w:szCs w:val="21"/>
          <w14:textFill>
            <w14:solidFill>
              <w14:schemeClr w14:val="tx1"/>
            </w14:solidFill>
          </w14:textFill>
        </w:rPr>
        <w:t xml:space="preserve">盖章，经江苏省设备成套股份有限公司见证后生效。</w:t>
      </w:r>
      <w:r/>
    </w:p>
    <w:p>
      <w:pPr>
        <w:spacing w:line="400" w:lineRule="exact"/>
        <w:rPr>
          <w:b/>
          <w:bCs/>
          <w:color w:val="000000" w:themeColor="text1"/>
          <w:szCs w:val="21"/>
          <w14:textFill>
            <w14:solidFill>
              <w14:schemeClr w14:val="tx1"/>
            </w14:solidFill>
          </w14:textFill>
        </w:rPr>
      </w:pPr>
      <w:r/>
      <w:bookmarkStart w:id="34" w:name="_Toc245033606"/>
      <w:r>
        <w:rPr>
          <w:b/>
          <w:bCs/>
          <w:color w:val="000000" w:themeColor="text1"/>
          <w:szCs w:val="21"/>
          <w14:textFill>
            <w14:solidFill>
              <w14:schemeClr w14:val="tx1"/>
            </w14:solidFill>
          </w14:textFill>
        </w:rPr>
        <w:t xml:space="preserve">十一、争议解决</w:t>
      </w:r>
      <w:bookmarkEnd w:id="34"/>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21、争议解决</w:t>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甲乙双方因合同发生争议，应在招标方的主持下进行调解，协调不成，任何一方均可提请无锡仲裁委员会裁决。</w:t>
      </w:r>
      <w:r/>
    </w:p>
    <w:p>
      <w:pPr>
        <w:spacing w:line="400" w:lineRule="exact"/>
        <w:rPr>
          <w:b/>
          <w:bCs/>
          <w:color w:val="000000" w:themeColor="text1"/>
          <w:szCs w:val="21"/>
          <w14:textFill>
            <w14:solidFill>
              <w14:schemeClr w14:val="tx1"/>
            </w14:solidFill>
          </w14:textFill>
        </w:rPr>
      </w:pPr>
      <w:r/>
      <w:bookmarkStart w:id="35" w:name="_Toc245033607"/>
      <w:r>
        <w:rPr>
          <w:b/>
          <w:bCs/>
          <w:color w:val="000000" w:themeColor="text1"/>
          <w:szCs w:val="21"/>
          <w14:textFill>
            <w14:solidFill>
              <w14:schemeClr w14:val="tx1"/>
            </w14:solidFill>
          </w14:textFill>
        </w:rPr>
        <w:t xml:space="preserve">十二、附则</w:t>
      </w:r>
      <w:bookmarkEnd w:id="35"/>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22、合同份数</w:t>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本协议书一式陆份，具有同等法律效力。供需双方各执贰份，市财政局政府采购管理处、江苏省设备成套股份有限公司各执壹份。</w:t>
      </w:r>
      <w:r/>
    </w:p>
    <w:p>
      <w:pPr>
        <w:ind w:firstLine="135"/>
        <w:spacing w:line="40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23、未尽事宜</w:t>
      </w:r>
      <w:r/>
    </w:p>
    <w:p>
      <w:pPr>
        <w:jc w:val="left"/>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本合同未尽事宜应按《中华人民共和国民法典》、《中华人民共和国产品质量法》、《中华人民共和国政府采购法》之规定解释。</w:t>
      </w:r>
      <w:r/>
    </w:p>
    <w:p>
      <w:pP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br w:type="page" w:clear="all"/>
      </w:r>
      <w:r/>
    </w:p>
    <w:p>
      <w:pPr>
        <w:jc w:val="cente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第二部分．合同的特殊性条款</w:t>
      </w:r>
      <w:r/>
    </w:p>
    <w:p>
      <w:pPr>
        <w:spacing w:line="360" w:lineRule="auto"/>
        <w:tabs>
          <w:tab w:val="left" w:pos="1129"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一、合同内容：</w:t>
      </w:r>
      <w:r/>
    </w:p>
    <w:p>
      <w:pPr>
        <w:ind w:firstLine="210"/>
        <w:spacing w:line="360" w:lineRule="auto"/>
        <w:rPr>
          <w:b/>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1、乙方负责完成甲方所需的</w:t>
      </w:r>
      <w:r>
        <w:rPr>
          <w:color w:val="000000" w:themeColor="text1"/>
          <w:szCs w:val="21"/>
          <w:u w:val="single"/>
          <w14:textFill>
            <w14:solidFill>
              <w14:schemeClr w14:val="tx1"/>
            </w14:solidFill>
          </w14:textFill>
        </w:rPr>
        <w:t xml:space="preserve">                                                 </w:t>
      </w:r>
      <w:r>
        <w:rPr>
          <w:bCs/>
          <w:color w:val="000000" w:themeColor="text1"/>
          <w:szCs w:val="21"/>
          <w:u w:val="single"/>
          <w14:textFill>
            <w14:solidFill>
              <w14:schemeClr w14:val="tx1"/>
            </w14:solidFill>
          </w14:textFill>
        </w:rPr>
        <w:t xml:space="preserve">。</w:t>
      </w:r>
      <w:r>
        <w:rPr>
          <w:b/>
          <w:color w:val="000000" w:themeColor="text1"/>
          <w:szCs w:val="21"/>
          <w:u w:val="single"/>
          <w14:textFill>
            <w14:solidFill>
              <w14:schemeClr w14:val="tx1"/>
            </w14:solidFill>
          </w14:textFill>
        </w:rPr>
        <w:t xml:space="preserve">货物清单及明细报价详见附件1。</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2、下列文件为本合同不可分割部分：</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①中标通知书；</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②乙方中标的投标书；</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③招标文件；</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④乙方在招投标过程中所作的其他承诺、声明、书面澄清等。</w:t>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二、价格与支付：</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1、合同价格按此次中标价格执行，合同总金额为人民币________元，</w:t>
      </w:r>
      <w:r>
        <w:rPr>
          <w:color w:val="000000" w:themeColor="text1"/>
          <w:szCs w:val="21"/>
          <w14:textFill>
            <w14:solidFill>
              <w14:schemeClr w14:val="tx1"/>
            </w14:solidFill>
          </w14:textFill>
        </w:rPr>
        <w:t xml:space="preserve">大写：</w:t>
      </w:r>
      <w:r>
        <w:rPr>
          <w:color w:val="000000" w:themeColor="text1"/>
          <w:szCs w:val="21"/>
          <w:u w:val="single"/>
          <w14:textFill>
            <w14:solidFill>
              <w14:schemeClr w14:val="tx1"/>
            </w14:solidFill>
          </w14:textFill>
        </w:rPr>
        <w:t xml:space="preserve">       （</w:t>
      </w:r>
      <w:r>
        <w:rPr>
          <w:color w:val="000000" w:themeColor="text1"/>
          <w:szCs w:val="21"/>
          <w:u w:val="single"/>
          <w:lang w:eastAsia="zh-Hans"/>
          <w14:textFill>
            <w14:solidFill>
              <w14:schemeClr w14:val="tx1"/>
            </w14:solidFill>
          </w14:textFill>
        </w:rPr>
        <w:t xml:space="preserve">含税）</w:t>
      </w:r>
      <w:r>
        <w:rPr>
          <w:color w:val="000000" w:themeColor="text1"/>
          <w:szCs w:val="21"/>
          <w14:textFill>
            <w14:solidFill>
              <w14:schemeClr w14:val="tx1"/>
            </w14:solidFill>
          </w14:textFill>
        </w:rPr>
        <w:t xml:space="preserve">招标总报价一次报定，包含主机、附（配）件、包装、运输、调试、保险等一切费用。</w:t>
      </w:r>
      <w:r/>
    </w:p>
    <w:p>
      <w:pPr>
        <w:ind w:firstLine="210"/>
        <w:spacing w:line="360" w:lineRule="auto"/>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付款步骤：</w:t>
      </w:r>
      <w:r>
        <w:rPr>
          <w:color w:val="000000" w:themeColor="text1"/>
          <w:szCs w:val="21"/>
          <w:u w:val="single"/>
          <w14:textFill>
            <w14:solidFill>
              <w14:schemeClr w14:val="tx1"/>
            </w14:solidFill>
          </w14:textFill>
        </w:rPr>
        <w:t xml:space="preserve">合同签订生效后30日内，支付总货款的30%；货到验收合格交付需方使用，供方提供增值税专用发票后30日内支付剩余尾款。</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每次付款前，乙方须提供相同金额的税务部门统一监制的正式增值税专用发票。</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如因乙方延迟开票造成甲方延期付款的，甲方相应付款期限顺延。采购人原则上应当自收到</w:t>
      </w:r>
      <w:bookmarkStart w:id="36" w:name="OLE_LINK6"/>
      <w:r>
        <w:rPr>
          <w:color w:val="000000" w:themeColor="text1"/>
          <w:szCs w:val="21"/>
          <w14:textFill>
            <w14:solidFill>
              <w14:schemeClr w14:val="tx1"/>
            </w14:solidFill>
          </w14:textFill>
        </w:rPr>
        <w:t xml:space="preserve">发票后10个工作日内将资金支付到合同约定的供应商账户</w:t>
      </w:r>
      <w:bookmarkEnd w:id="36"/>
      <w:r>
        <w:rPr>
          <w:color w:val="000000" w:themeColor="text1"/>
          <w:szCs w:val="21"/>
          <w14:textFill>
            <w14:solidFill>
              <w14:schemeClr w14:val="tx1"/>
            </w14:solidFill>
          </w14:textFill>
        </w:rPr>
        <w:t xml:space="preserve">。</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3、付款方式：银行汇票或转账支票。</w:t>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三、</w:t>
      </w:r>
      <w:r>
        <w:rPr>
          <w:rFonts w:hint="eastAsia" w:ascii="宋体" w:hAnsi="宋体" w:cs="宋体"/>
          <w:b/>
          <w:color w:val="000000" w:themeColor="text1"/>
          <w:szCs w:val="21"/>
          <w14:textFill>
            <w14:solidFill>
              <w14:schemeClr w14:val="tx1"/>
            </w14:solidFill>
          </w14:textFill>
        </w:rPr>
        <w:t xml:space="preserve">★</w:t>
      </w:r>
      <w:r>
        <w:rPr>
          <w:b/>
          <w:color w:val="000000" w:themeColor="text1"/>
          <w:szCs w:val="21"/>
          <w14:textFill>
            <w14:solidFill>
              <w14:schemeClr w14:val="tx1"/>
            </w14:solidFill>
          </w14:textFill>
        </w:rPr>
        <w:t xml:space="preserve">交付时间：</w:t>
      </w:r>
      <w:r>
        <w:rPr>
          <w:rFonts w:hint="eastAsia"/>
          <w:b/>
          <w:color w:val="000000" w:themeColor="text1"/>
          <w:szCs w:val="21"/>
          <w:u w:val="single"/>
          <w14:textFill>
            <w14:solidFill>
              <w14:schemeClr w14:val="tx1"/>
            </w14:solidFill>
          </w14:textFill>
        </w:rPr>
        <w:t xml:space="preserve">合同签订生效后90日历天内完成供货、安装、调试，交付采购人使用。</w:t>
      </w:r>
      <w:r/>
    </w:p>
    <w:p>
      <w:pPr>
        <w:ind w:firstLine="422"/>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交付地点：无锡市春新东路8号（无锡市检验检测认证研究院）</w:t>
      </w:r>
      <w:r/>
    </w:p>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货物运输与包装由乙方承担，乙方应提供符合要求的包装。如货运途中，货物毁损或灭失的，乙方应及时通知甲方并进行补齐，但交货期限不予顺延。商品包装、快递包装按《商品包装政府采购需求标准（试行）》《快递包装政府采购需求标准（试行）》执行。（详见《商品包装政府采购需求标准（试行）》《快递包装政府采购需求标准（试行）》的通知（财办库〔2020〕123号））</w:t>
      </w:r>
      <w:r/>
    </w:p>
    <w:p>
      <w:pPr>
        <w:spacing w:line="360" w:lineRule="auto"/>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四、质量与验收</w:t>
      </w:r>
      <w:r>
        <w:rPr>
          <w:color w:val="000000" w:themeColor="text1"/>
          <w:szCs w:val="21"/>
          <w14:textFill>
            <w14:solidFill>
              <w14:schemeClr w14:val="tx1"/>
            </w14:solidFill>
          </w14:textFill>
        </w:rPr>
        <w:t xml:space="preserve">：</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1、乙方应按招标书的有关规定提供合格货物；</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2、货物质量出现问题，乙方负责包修、包退、包换，费用由乙方承担；</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3、货物的验收包括：数量、外观、质量、性能、质保单、包装和乙方承诺的其他指标；</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4、验收标准根据有关规定及技术要求，验收通过为准；</w:t>
      </w:r>
      <w:r/>
    </w:p>
    <w:p>
      <w:pPr>
        <w:ind w:firstLine="21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5、乙方交付验收时应先用书面、电传等方式通知甲方，经甲方验收合格后，由甲方出具书面验收合格确认书。</w:t>
      </w:r>
      <w:r/>
    </w:p>
    <w:p>
      <w:pPr>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五、</w:t>
      </w:r>
      <w:r>
        <w:rPr>
          <w:rFonts w:hint="eastAsia" w:ascii="宋体" w:hAnsi="宋体" w:cs="宋体"/>
          <w:b/>
          <w:bCs/>
          <w:color w:val="000000" w:themeColor="text1"/>
          <w:szCs w:val="21"/>
          <w14:textFill>
            <w14:solidFill>
              <w14:schemeClr w14:val="tx1"/>
            </w14:solidFill>
          </w14:textFill>
        </w:rPr>
        <w:t xml:space="preserve">★</w:t>
      </w:r>
      <w:r>
        <w:rPr>
          <w:b/>
          <w:color w:val="000000" w:themeColor="text1"/>
          <w:szCs w:val="21"/>
          <w14:textFill>
            <w14:solidFill>
              <w14:schemeClr w14:val="tx1"/>
            </w14:solidFill>
          </w14:textFill>
        </w:rPr>
        <w:t xml:space="preserve">售后服务：</w:t>
      </w:r>
      <w:r/>
    </w:p>
    <w:p>
      <w:pPr>
        <w:ind w:firstLine="210"/>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免费保修期：</w:t>
      </w:r>
      <w:r>
        <w:rPr>
          <w:color w:val="000000" w:themeColor="text1"/>
          <w:szCs w:val="21"/>
          <w:u w:val="single"/>
          <w14:textFill>
            <w14:solidFill>
              <w14:schemeClr w14:val="tx1"/>
            </w14:solidFill>
          </w14:textFill>
        </w:rPr>
        <w:t xml:space="preserve"> 详见第四章采购需求（不低于第四章标准） </w:t>
      </w:r>
      <w:r>
        <w:rPr>
          <w:color w:val="000000" w:themeColor="text1"/>
          <w:szCs w:val="21"/>
          <w:lang w:val="zh-CN"/>
          <w14:textFill>
            <w14:solidFill>
              <w14:schemeClr w14:val="tx1"/>
            </w14:solidFill>
          </w14:textFill>
        </w:rPr>
        <w:t xml:space="preserve">，验收合格之日起计算。</w:t>
      </w:r>
      <w:r/>
    </w:p>
    <w:p>
      <w:pPr>
        <w:ind w:firstLine="210"/>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在质保期内，如非甲方原因损坏或出现性能不符要求等质量问题时，甲方可根据具体情况，有权要求乙方负责在甲方指定期限内修复、换货或退货，因修复、调换或退货而支付的实际费用由乙方承担，并且乙方还应承担给甲方造成的所有损失。如甲方要求乙方在指定期限内修复的，但乙方超过指定期限还未修复的，甲方有权自行修复或委托第三方修复，所花费用全部由乙方承担。对于修复或调换的产品，质量保证期限自修复完毕或调换之日起重新计算。</w:t>
      </w:r>
      <w:r/>
    </w:p>
    <w:p>
      <w:pPr>
        <w:ind w:firstLine="210"/>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其他按照招标文件和乙方在投标书中承诺的服务执行。</w:t>
      </w:r>
      <w:r/>
    </w:p>
    <w:p>
      <w:pPr>
        <w:ind w:firstLine="210"/>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（乙方在投标书中承诺的服务优于上述标准的，以承诺的服务为准，未列明的按照招标文件和乙方在投标书中承诺的服务执行。签订时另行细化。）</w:t>
      </w:r>
      <w:r/>
    </w:p>
    <w:p>
      <w:pPr>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六、违约责任：</w:t>
      </w:r>
      <w:r/>
    </w:p>
    <w:p>
      <w:pPr>
        <w:ind w:firstLine="210"/>
        <w:spacing w:line="380" w:lineRule="exact"/>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按招标文件的规定执行。（</w:t>
      </w:r>
      <w:r>
        <w:rPr>
          <w:color w:val="000000" w:themeColor="text1"/>
          <w:szCs w:val="21"/>
          <w14:textFill>
            <w14:solidFill>
              <w14:schemeClr w14:val="tx1"/>
            </w14:solidFill>
          </w14:textFill>
        </w:rPr>
        <w:t xml:space="preserve">乙方应严格履行其对售后服务的承诺，否则，应承担相应的违约责任。）</w:t>
      </w:r>
      <w:r/>
    </w:p>
    <w:p>
      <w:pPr>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七、合同生效及其他：</w:t>
      </w:r>
      <w:r/>
    </w:p>
    <w:p>
      <w:pPr>
        <w:ind w:firstLine="210"/>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1、本协议书一式陆份，具有同等法律效力。供需双方各执贰份，市财政局政府采购管理处壹份、江苏省设备成套股份有限公司壹份。</w:t>
      </w:r>
      <w:r/>
    </w:p>
    <w:p>
      <w:pPr>
        <w:ind w:firstLine="210"/>
        <w:spacing w:line="380" w:lineRule="exact"/>
        <w:rPr>
          <w:color w:val="000000" w:themeColor="text1"/>
          <w:szCs w:val="21"/>
          <w:lang w:val="zh-CN"/>
          <w14:textFill>
            <w14:solidFill>
              <w14:schemeClr w14:val="tx1"/>
            </w14:solidFill>
          </w14:textFill>
        </w:rPr>
      </w:pPr>
      <w:r>
        <w:rPr>
          <w:color w:val="000000" w:themeColor="text1"/>
          <w:szCs w:val="21"/>
          <w14:textFill>
            <w14:solidFill>
              <w14:schemeClr w14:val="tx1"/>
            </w14:solidFill>
          </w14:textFill>
        </w:rPr>
        <w:t xml:space="preserve">2、</w:t>
      </w:r>
      <w:r>
        <w:rPr>
          <w:color w:val="000000" w:themeColor="text1"/>
          <w:szCs w:val="21"/>
          <w:lang w:val="zh-CN"/>
          <w14:textFill>
            <w14:solidFill>
              <w14:schemeClr w14:val="tx1"/>
            </w14:solidFill>
          </w14:textFill>
        </w:rPr>
        <w:t xml:space="preserve">本协议书经双方代表签字并加盖单位公章后生效。合同在执行过程中出现的未尽事宜，双方在不违背本合同和招标文件的原则下协商解决，协商结果以书面形式盖章记录在案，作为本合同的附件，与本合同具有同等效力，但须向市财政局政府采购管理处提交一份备存。</w:t>
      </w:r>
      <w:r/>
    </w:p>
    <w:p>
      <w:pPr>
        <w:ind w:firstLine="210"/>
        <w:spacing w:line="38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440" w:lineRule="exact"/>
        <w:rPr>
          <w:bCs/>
          <w:color w:val="000000" w:themeColor="text1"/>
          <w:szCs w:val="21"/>
          <w:u w:val="single"/>
          <w14:textFill>
            <w14:solidFill>
              <w14:schemeClr w14:val="tx1"/>
            </w14:solidFill>
          </w14:textFill>
        </w:rPr>
      </w:pPr>
      <w:r>
        <w:rPr>
          <w:bCs/>
          <w:color w:val="000000" w:themeColor="text1"/>
          <w:szCs w:val="21"/>
          <w14:textFill>
            <w14:solidFill>
              <w14:schemeClr w14:val="tx1"/>
            </w14:solidFill>
          </w14:textFill>
        </w:rPr>
        <w:t xml:space="preserve">甲方（采购人）：</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（盖章）   乙方（中标方）：</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（盖章）</w:t>
      </w:r>
      <w:r/>
    </w:p>
    <w:p>
      <w:pPr>
        <w:spacing w:line="440" w:lineRule="exact"/>
        <w:rPr>
          <w:bCs/>
          <w:color w:val="000000" w:themeColor="text1"/>
          <w:szCs w:val="21"/>
          <w:u w:val="single"/>
          <w14:textFill>
            <w14:solidFill>
              <w14:schemeClr w14:val="tx1"/>
            </w14:solidFill>
          </w14:textFill>
        </w:rPr>
      </w:pPr>
      <w:r>
        <w:rPr>
          <w:bCs/>
          <w:color w:val="000000" w:themeColor="text1"/>
          <w:szCs w:val="21"/>
          <w14:textFill>
            <w14:solidFill>
              <w14:schemeClr w14:val="tx1"/>
            </w14:solidFill>
          </w14:textFill>
        </w:rPr>
        <w:t xml:space="preserve">地址：</w:t>
      </w:r>
      <w:bookmarkStart w:id="37" w:name="_Hlk110258662"/>
      <w:r>
        <w:rPr>
          <w:bCs/>
          <w:color w:val="000000" w:themeColor="text1"/>
          <w:szCs w:val="21"/>
          <w:u w:val="single"/>
          <w14:textFill>
            <w14:solidFill>
              <w14:schemeClr w14:val="tx1"/>
            </w14:solidFill>
          </w14:textFill>
        </w:rPr>
        <w:t xml:space="preserve">     </w:t>
      </w:r>
      <w:bookmarkEnd w:id="37"/>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    地址：</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 </w:t>
      </w:r>
      <w:r>
        <w:rPr>
          <w:bCs/>
          <w:color w:val="000000" w:themeColor="text1"/>
          <w:szCs w:val="21"/>
          <w:u w:val="single"/>
          <w14:textFill>
            <w14:solidFill>
              <w14:schemeClr w14:val="tx1"/>
            </w14:solidFill>
          </w14:textFill>
        </w:rPr>
        <w:t xml:space="preserve">  </w:t>
      </w:r>
      <w:r/>
    </w:p>
    <w:p>
      <w:pPr>
        <w:spacing w:line="440" w:lineRule="exact"/>
        <w:rPr>
          <w:bCs/>
          <w:color w:val="000000" w:themeColor="text1"/>
          <w:szCs w:val="21"/>
          <w:u w:val="single"/>
          <w14:textFill>
            <w14:solidFill>
              <w14:schemeClr w14:val="tx1"/>
            </w14:solidFill>
          </w14:textFill>
        </w:rPr>
      </w:pPr>
      <w:r>
        <w:rPr>
          <w:bCs/>
          <w:color w:val="000000" w:themeColor="text1"/>
          <w:szCs w:val="21"/>
          <w14:textFill>
            <w14:solidFill>
              <w14:schemeClr w14:val="tx1"/>
            </w14:solidFill>
          </w14:textFill>
        </w:rPr>
        <w:t xml:space="preserve">法定（授权）代表人：</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    法定（授权）代表人：</w:t>
      </w:r>
      <w:r>
        <w:rPr>
          <w:bCs/>
          <w:color w:val="000000" w:themeColor="text1"/>
          <w:szCs w:val="21"/>
          <w:u w:val="single"/>
          <w14:textFill>
            <w14:solidFill>
              <w14:schemeClr w14:val="tx1"/>
            </w14:solidFill>
          </w14:textFill>
        </w:rPr>
        <w:t xml:space="preserve">      </w:t>
      </w:r>
      <w:r/>
    </w:p>
    <w:p>
      <w:pPr>
        <w:spacing w:line="440" w:lineRule="exact"/>
        <w:rPr>
          <w:bCs/>
          <w:color w:val="000000" w:themeColor="text1"/>
          <w:szCs w:val="21"/>
          <w14:textFill>
            <w14:solidFill>
              <w14:schemeClr w14:val="tx1"/>
            </w14:solidFill>
          </w14:textFill>
        </w:rPr>
      </w:pP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年</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月</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日               </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年</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月</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日 </w:t>
      </w:r>
      <w:r/>
    </w:p>
    <w:p>
      <w:pPr>
        <w:jc w:val="left"/>
        <w:spacing w:line="44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中标方户名：                                 </w:t>
      </w:r>
      <w:r/>
    </w:p>
    <w:p>
      <w:pPr>
        <w:jc w:val="left"/>
        <w:spacing w:line="44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中标方开户银行：                                   </w:t>
      </w:r>
      <w:r/>
    </w:p>
    <w:p>
      <w:pPr>
        <w:spacing w:after="0" w:line="360" w:lineRule="auto"/>
        <w:widowControl/>
        <w:rPr>
          <w:bCs/>
          <w:color w:val="000000" w:themeColor="text1"/>
          <w:szCs w:val="21"/>
          <w:u w:val="single"/>
          <w:lang w:bidi="ar"/>
          <w14:textFill>
            <w14:solidFill>
              <w14:schemeClr w14:val="tx1"/>
            </w14:solidFill>
          </w14:textFill>
        </w:rPr>
      </w:pPr>
      <w:r>
        <w:rPr>
          <w:color w:val="000000" w:themeColor="text1"/>
          <w:szCs w:val="21"/>
          <w:lang w:val="zh-CN"/>
          <w14:textFill>
            <w14:solidFill>
              <w14:schemeClr w14:val="tx1"/>
            </w14:solidFill>
          </w14:textFill>
        </w:rPr>
        <w:t xml:space="preserve">中标方账号：</w:t>
      </w:r>
      <w:r>
        <w:rPr>
          <w:bCs/>
          <w:color w:val="000000" w:themeColor="text1"/>
          <w:szCs w:val="21"/>
          <w:u w:val="single"/>
          <w:lang w:bidi="ar"/>
          <w14:textFill>
            <w14:solidFill>
              <w14:schemeClr w14:val="tx1"/>
            </w14:solidFill>
          </w14:textFill>
        </w:rPr>
        <w:t xml:space="preserve"> </w:t>
      </w:r>
      <w:r/>
    </w:p>
    <w:p>
      <w:pPr>
        <w:spacing w:after="0" w:line="360" w:lineRule="auto"/>
        <w:widowControl/>
        <w:rPr>
          <w:b/>
          <w:color w:val="000000" w:themeColor="text1"/>
          <w:sz w:val="28"/>
          <w:szCs w:val="28"/>
          <w:u w:val="single"/>
          <w:lang w:bidi="ar"/>
          <w14:textFill>
            <w14:solidFill>
              <w14:schemeClr w14:val="tx1"/>
            </w14:solidFill>
          </w14:textFill>
        </w:rPr>
      </w:pPr>
      <w:r>
        <w:rPr>
          <w:b/>
          <w:color w:val="000000" w:themeColor="text1"/>
          <w:sz w:val="28"/>
          <w:szCs w:val="28"/>
          <w:u w:val="single"/>
          <w:lang w:bidi="ar"/>
          <w14:textFill>
            <w14:solidFill>
              <w14:schemeClr w14:val="tx1"/>
            </w14:solidFill>
          </w14:textFill>
        </w:rPr>
        <w:t xml:space="preserve">附件1，货物清单及明细报价</w:t>
      </w:r>
      <w:r/>
    </w:p>
    <w:tbl>
      <w:tblPr>
        <w:tblStyle w:val="94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967"/>
        <w:gridCol w:w="1159"/>
        <w:gridCol w:w="709"/>
        <w:gridCol w:w="708"/>
        <w:gridCol w:w="1110"/>
        <w:gridCol w:w="1134"/>
        <w:gridCol w:w="854"/>
      </w:tblGrid>
      <w:tr>
        <w:trPr>
          <w:jc w:val="center"/>
          <w:trHeight w:val="640"/>
        </w:trPr>
        <w:tc>
          <w:tcPr>
            <w:tcW w:w="812"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1193"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w:t>
            </w:r>
            <w:r/>
          </w:p>
        </w:tc>
        <w:tc>
          <w:tcPr>
            <w:tcW w:w="967"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制造商名称</w:t>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型号规格</w:t>
            </w:r>
            <w:r/>
          </w:p>
        </w:tc>
        <w:tc>
          <w:tcPr>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w:t>
            </w:r>
            <w:r/>
          </w:p>
        </w:tc>
        <w:tc>
          <w:tcPr>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数量</w:t>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单价</w:t>
            </w:r>
            <w:r/>
          </w:p>
        </w:tc>
        <w:tc>
          <w:tcPr>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合价</w:t>
            </w:r>
            <w:r/>
          </w:p>
        </w:tc>
        <w:tc>
          <w:tcPr>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1193"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1193"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1193"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322"/>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1193"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W w:w="119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p>
        </w:tc>
        <w:tc>
          <w:tcPr>
            <w:tcW w:w="119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w:t>
            </w:r>
            <w:r/>
          </w:p>
        </w:tc>
        <w:tc>
          <w:tcPr>
            <w:tcW w:w="119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w:t>
            </w:r>
            <w:r/>
          </w:p>
        </w:tc>
        <w:tc>
          <w:tcPr>
            <w:tcW w:w="119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6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5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09"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10"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13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gridSpan w:val="9"/>
            <w:tcW w:w="864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总报价：大写：</w:t>
            </w:r>
            <w:r>
              <w:rPr>
                <w:color w:val="000000" w:themeColor="text1"/>
                <w:szCs w:val="21"/>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rPr>
                <w:color w:val="000000" w:themeColor="text1"/>
                <w:sz w:val="22"/>
                <w:szCs w:val="22"/>
                <w14:textFill>
                  <w14:solidFill>
                    <w14:schemeClr w14:val="tx1"/>
                  </w14:solidFill>
                </w14:textFill>
              </w:rPr>
              <w:t xml:space="preserve">元整   </w:t>
            </w:r>
            <w:r>
              <w:rPr>
                <w:color w:val="000000" w:themeColor="text1"/>
                <w:szCs w:val="21"/>
                <w14:textFill>
                  <w14:solidFill>
                    <w14:schemeClr w14:val="tx1"/>
                  </w14:solidFill>
                </w14:textFill>
              </w:rPr>
              <w:t xml:space="preserve">小写：</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元（含税）</w:t>
            </w:r>
            <w:r/>
          </w:p>
        </w:tc>
      </w:tr>
    </w:tbl>
    <w:p>
      <w:pPr>
        <w:jc w:val="left"/>
        <w:spacing w:after="0" w:line="240" w:lineRule="auto"/>
        <w:widowControl/>
        <w:rPr>
          <w:color w:val="000000" w:themeColor="text1"/>
          <w:sz w:val="32"/>
          <w:szCs w:val="44"/>
          <w:lang w:val="zh-CN"/>
          <w14:textFill>
            <w14:solidFill>
              <w14:schemeClr w14:val="tx1"/>
            </w14:solidFill>
          </w14:textFill>
        </w:rPr>
      </w:pPr>
      <w:r>
        <w:rPr>
          <w:color w:val="000000" w:themeColor="text1"/>
          <w:sz w:val="32"/>
          <w:szCs w:val="44"/>
          <w:lang w:val="zh-CN"/>
          <w14:textFill>
            <w14:solidFill>
              <w14:schemeClr w14:val="tx1"/>
            </w14:solidFill>
          </w14:textFill>
        </w:rPr>
        <w:br w:type="page" w:clear="all"/>
      </w:r>
      <w:r/>
    </w:p>
    <w:p>
      <w:pPr>
        <w:pStyle w:val="936"/>
        <w:numPr>
          <w:ilvl w:val="0"/>
          <w:numId w:val="0"/>
        </w:numPr>
        <w:rPr>
          <w:color w:val="000000" w:themeColor="text1"/>
          <w14:textFill>
            <w14:solidFill>
              <w14:schemeClr w14:val="tx1"/>
            </w14:solidFill>
          </w14:textFill>
        </w:rPr>
      </w:pPr>
      <w:r/>
      <w:bookmarkStart w:id="38" w:name="_Toc177025990"/>
      <w:r>
        <w:rPr>
          <w:color w:val="000000" w:themeColor="text1"/>
          <w:lang w:val="zh-CN"/>
          <w14:textFill>
            <w14:solidFill>
              <w14:schemeClr w14:val="tx1"/>
            </w14:solidFill>
          </w14:textFill>
        </w:rPr>
        <w:t xml:space="preserve">第六章</w:t>
      </w:r>
      <w:r>
        <w:rPr>
          <w:color w:val="000000" w:themeColor="text1"/>
          <w14:textFill>
            <w14:solidFill>
              <w14:schemeClr w14:val="tx1"/>
            </w14:solidFill>
          </w14:textFill>
        </w:rPr>
        <w:t xml:space="preserve">  </w:t>
      </w:r>
      <w:r>
        <w:rPr>
          <w:color w:val="000000" w:themeColor="text1"/>
          <w:lang w:val="zh-CN"/>
          <w14:textFill>
            <w14:solidFill>
              <w14:schemeClr w14:val="tx1"/>
            </w14:solidFill>
          </w14:textFill>
        </w:rPr>
        <w:t xml:space="preserve">附</w:t>
      </w:r>
      <w:r>
        <w:rPr>
          <w:color w:val="000000" w:themeColor="text1"/>
          <w14:textFill>
            <w14:solidFill>
              <w14:schemeClr w14:val="tx1"/>
            </w14:solidFill>
          </w14:textFill>
        </w:rPr>
        <w:t xml:space="preserve">  </w:t>
      </w:r>
      <w:r>
        <w:rPr>
          <w:color w:val="000000" w:themeColor="text1"/>
          <w:lang w:val="zh-CN"/>
          <w14:textFill>
            <w14:solidFill>
              <w14:schemeClr w14:val="tx1"/>
            </w14:solidFill>
          </w14:textFill>
        </w:rPr>
        <w:t xml:space="preserve">件</w:t>
      </w:r>
      <w:bookmarkEnd w:id="38"/>
      <w:r/>
      <w:r/>
    </w:p>
    <w:p>
      <w:pPr>
        <w:jc w:val="left"/>
        <w:spacing w:line="240" w:lineRule="atLeast"/>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440" w:lineRule="exact"/>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spacing w:line="440" w:lineRule="exact"/>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spacing w:line="440" w:lineRule="exact"/>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spacing w:line="440" w:lineRule="exact"/>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spacing w:line="440" w:lineRule="exact"/>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spacing w:line="440" w:lineRule="exact"/>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jc w:val="center"/>
        <w:rPr>
          <w:color w:val="000000" w:themeColor="text1"/>
          <w:sz w:val="20"/>
          <w:szCs w:val="20"/>
          <w14:textFill>
            <w14:solidFill>
              <w14:schemeClr w14:val="tx1"/>
            </w14:solidFill>
          </w14:textFill>
        </w:rPr>
      </w:pPr>
      <w:r>
        <w:rPr>
          <w:color w:val="000000" w:themeColor="text1"/>
          <w:sz w:val="28"/>
          <w:szCs w:val="28"/>
          <w14:textFill>
            <w14:solidFill>
              <w14:schemeClr w14:val="tx1"/>
            </w14:solidFill>
          </w14:textFill>
        </w:rPr>
        <w:t xml:space="preserve">（项目名称）</w:t>
      </w:r>
      <w:r/>
    </w:p>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t xml:space="preserve">投标文件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jc w:val="center"/>
        <w:rPr>
          <w:color w:val="000000" w:themeColor="text1"/>
          <w:sz w:val="28"/>
          <w:szCs w:val="28"/>
          <w:u w:val="single"/>
          <w14:textFill>
            <w14:solidFill>
              <w14:schemeClr w14:val="tx1"/>
            </w14:solidFill>
          </w14:textFill>
        </w:rPr>
      </w:pPr>
      <w:r>
        <w:rPr>
          <w:color w:val="000000" w:themeColor="text1"/>
          <w:sz w:val="28"/>
          <w:szCs w:val="28"/>
          <w14:textFill>
            <w14:solidFill>
              <w14:schemeClr w14:val="tx1"/>
            </w14:solidFill>
          </w14:textFill>
        </w:rPr>
        <w:t xml:space="preserve">投标人：（盖电子签章）</w:t>
      </w:r>
      <w:r/>
    </w:p>
    <w:p>
      <w:pPr>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jc w:val="center"/>
        <w:rPr>
          <w:color w:val="000000" w:themeColor="text1"/>
          <w:sz w:val="20"/>
          <w:szCs w:val="20"/>
          <w14:textFill>
            <w14:solidFill>
              <w14:schemeClr w14:val="tx1"/>
            </w14:solidFill>
          </w14:textFill>
        </w:rPr>
      </w:pPr>
      <w:r>
        <w:rPr>
          <w:color w:val="000000" w:themeColor="text1"/>
          <w:sz w:val="28"/>
          <w:szCs w:val="28"/>
          <w14:textFill>
            <w14:solidFill>
              <w14:schemeClr w14:val="tx1"/>
            </w14:solidFill>
          </w14:textFill>
        </w:rPr>
        <w:t xml:space="preserve">年月日</w:t>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附件一、投标申请及声明格式</w:t>
      </w:r>
      <w:r/>
    </w:p>
    <w:p>
      <w:pPr>
        <w:jc w:val="cente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投标申请及声明</w:t>
      </w:r>
      <w:r/>
    </w:p>
    <w:p>
      <w:pP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致：江苏省设备成套股份有限公司</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根据贵方</w:t>
      </w:r>
      <w:r>
        <w:rPr>
          <w:color w:val="000000" w:themeColor="text1"/>
          <w:szCs w:val="21"/>
          <w:u w:val="single"/>
          <w14:textFill>
            <w14:solidFill>
              <w14:schemeClr w14:val="tx1"/>
            </w14:solidFill>
          </w14:textFill>
        </w:rPr>
        <w:t xml:space="preserve">                   </w:t>
      </w:r>
      <w:r>
        <w:rPr>
          <w:b/>
          <w:bCs/>
          <w:color w:val="000000" w:themeColor="text1"/>
          <w:szCs w:val="21"/>
          <w:u w:val="single"/>
          <w14:textFill>
            <w14:solidFill>
              <w14:schemeClr w14:val="tx1"/>
            </w14:solidFill>
          </w14:textFill>
        </w:rPr>
        <w:t xml:space="preserve">（</w:t>
      </w:r>
      <w:r>
        <w:rPr>
          <w:color w:val="000000" w:themeColor="text1"/>
          <w:szCs w:val="21"/>
          <w14:textFill>
            <w14:solidFill>
              <w14:schemeClr w14:val="tx1"/>
            </w14:solidFill>
          </w14:textFill>
        </w:rPr>
        <w:t xml:space="preserve">项目名称） </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（项目编号/标段号）投标邀请，正式授权下述签字人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(姓名和职务)代表投标人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（投标人名称），提交投标文件。</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据此函，签字人兹宣布声明和承诺如下：</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b/>
          <w:bCs/>
          <w:color w:val="000000" w:themeColor="text1"/>
          <w:szCs w:val="21"/>
          <w14:textFill>
            <w14:solidFill>
              <w14:schemeClr w14:val="tx1"/>
            </w14:solidFill>
          </w14:textFill>
        </w:rPr>
        <w:t xml:space="preserve">我们的资格条件完全符合政府采购法和本次招标要求</w:t>
      </w:r>
      <w:r>
        <w:rPr>
          <w:color w:val="000000" w:themeColor="text1"/>
          <w:szCs w:val="21"/>
          <w14:textFill>
            <w14:solidFill>
              <w14:schemeClr w14:val="tx1"/>
            </w14:solidFill>
          </w14:textFill>
        </w:rPr>
        <w:t xml:space="preserve">，我们同意并向贵方提供了与投标有关的所有证据和资料。</w:t>
      </w:r>
      <w:r/>
    </w:p>
    <w:p>
      <w:pPr>
        <w:ind w:left="1470" w:hanging="105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2、按招标要求，我们的投标报价为（大写）</w:t>
      </w:r>
      <w:r>
        <w:rPr>
          <w:b/>
          <w:bCs/>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元人民币。 </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3、本项目交付时间为：</w:t>
      </w:r>
      <w:r>
        <w:rPr>
          <w:color w:val="000000" w:themeColor="text1"/>
          <w:szCs w:val="21"/>
          <w:u w:val="single"/>
          <w14:textFill>
            <w14:solidFill>
              <w14:schemeClr w14:val="tx1"/>
            </w14:solidFill>
          </w14:textFill>
        </w:rPr>
        <w:t xml:space="preserve">  满足招标文件要求  </w:t>
      </w:r>
      <w:r>
        <w:rPr>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4、我们已详细审核全部招标文件及其有效补充文件，我们放弃对招标文件任何误解的权利，提交投标文件后，</w:t>
      </w:r>
      <w:r>
        <w:rPr>
          <w:b/>
          <w:bCs/>
          <w:color w:val="000000" w:themeColor="text1"/>
          <w:szCs w:val="21"/>
          <w14:textFill>
            <w14:solidFill>
              <w14:schemeClr w14:val="tx1"/>
            </w14:solidFill>
          </w14:textFill>
        </w:rPr>
        <w:t xml:space="preserve">不对招标文件本身提出质疑</w:t>
      </w:r>
      <w:r>
        <w:rPr>
          <w:color w:val="000000" w:themeColor="text1"/>
          <w:szCs w:val="21"/>
          <w14:textFill>
            <w14:solidFill>
              <w14:schemeClr w14:val="tx1"/>
            </w14:solidFill>
          </w14:textFill>
        </w:rPr>
        <w:t xml:space="preserve">。</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5、我们同意从规定的开标日期起遵循本投标文件，并在规定的投标有效期期满之前均具有约束力。</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9、与本投标有关的正式联系方式为：</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   址：</w:t>
      </w:r>
      <w:r>
        <w:rPr>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电   话：</w:t>
      </w:r>
      <w:r>
        <w:rPr>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传   真：</w:t>
      </w:r>
      <w:r>
        <w:rPr>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投标人授权代表身份证号：</w:t>
      </w:r>
      <w:r>
        <w:rPr>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投标人授权代表联系电话（手机/固话）：</w:t>
      </w:r>
      <w:r>
        <w:rPr>
          <w:color w:val="000000" w:themeColor="text1"/>
          <w:szCs w:val="21"/>
          <w:u w:val="single"/>
          <w14:textFill>
            <w14:solidFill>
              <w14:schemeClr w14:val="tx1"/>
            </w14:solidFill>
          </w14:textFill>
        </w:rPr>
        <w:t xml:space="preserve">    /    </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投标人名称：</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（盖电子签章）</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年</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月</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日</w:t>
      </w:r>
      <w:r/>
    </w:p>
    <w:p>
      <w:pPr>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附件二、法定代表人授权委托书格式</w:t>
      </w:r>
      <w:r/>
    </w:p>
    <w:p>
      <w:pPr>
        <w:ind w:firstLine="720"/>
        <w:jc w:val="cente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720"/>
        <w:jc w:val="cente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法定代表人授权委托书</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致：江苏省设备成套股份有限公司</w:t>
      </w:r>
      <w:r/>
    </w:p>
    <w:p>
      <w:pPr>
        <w:pStyle w:val="1044"/>
        <w:ind w:firstLine="480"/>
        <w:spacing w:line="480" w:lineRule="exact"/>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 xml:space="preserve">本授权书声明：本授权书声明：</w:t>
      </w:r>
      <w:r>
        <w:rPr>
          <w:rFonts w:ascii="Times New Roman" w:hAnsi="Times New Roman"/>
          <w:color w:val="000000" w:themeColor="text1"/>
          <w:sz w:val="21"/>
          <w:szCs w:val="21"/>
          <w:u w:val="single"/>
          <w:lang w:eastAsia="zh-CN"/>
          <w14:textFill>
            <w14:solidFill>
              <w14:schemeClr w14:val="tx1"/>
            </w14:solidFill>
          </w14:textFill>
        </w:rPr>
        <w:t xml:space="preserve">            </w:t>
      </w:r>
      <w:r>
        <w:rPr>
          <w:rFonts w:ascii="Times New Roman" w:hAnsi="Times New Roman"/>
          <w:color w:val="000000" w:themeColor="text1"/>
          <w:sz w:val="21"/>
          <w:szCs w:val="21"/>
          <w:lang w:eastAsia="zh-CN"/>
          <w14:textFill>
            <w14:solidFill>
              <w14:schemeClr w14:val="tx1"/>
            </w14:solidFill>
          </w14:textFill>
        </w:rPr>
        <w:t xml:space="preserve">（投标人名称）授权</w:t>
      </w:r>
      <w:r>
        <w:rPr>
          <w:rFonts w:ascii="Times New Roman" w:hAnsi="Times New Roman"/>
          <w:color w:val="000000" w:themeColor="text1"/>
          <w:sz w:val="21"/>
          <w:szCs w:val="21"/>
          <w:u w:val="single"/>
          <w:lang w:eastAsia="zh-CN"/>
          <w14:textFill>
            <w14:solidFill>
              <w14:schemeClr w14:val="tx1"/>
            </w14:solidFill>
          </w14:textFill>
        </w:rPr>
        <w:t xml:space="preserve">          </w:t>
      </w:r>
      <w:r>
        <w:rPr>
          <w:rFonts w:ascii="Times New Roman" w:hAnsi="Times New Roman"/>
          <w:color w:val="000000" w:themeColor="text1"/>
          <w:sz w:val="21"/>
          <w:szCs w:val="21"/>
          <w:lang w:eastAsia="zh-CN"/>
          <w14:textFill>
            <w14:solidFill>
              <w14:schemeClr w14:val="tx1"/>
            </w14:solidFill>
          </w14:textFill>
        </w:rPr>
        <w:t xml:space="preserve">（被授权人姓名）作为我方参加编号为</w:t>
      </w:r>
      <w:r>
        <w:rPr>
          <w:rFonts w:ascii="Times New Roman" w:hAnsi="Times New Roman"/>
          <w:color w:val="000000" w:themeColor="text1"/>
          <w:sz w:val="21"/>
          <w:szCs w:val="21"/>
          <w:u w:val="single"/>
          <w:lang w:eastAsia="zh-CN"/>
          <w14:textFill>
            <w14:solidFill>
              <w14:schemeClr w14:val="tx1"/>
            </w14:solidFill>
          </w14:textFill>
        </w:rPr>
        <w:t xml:space="preserve">                             </w:t>
      </w:r>
      <w:r>
        <w:rPr>
          <w:rFonts w:ascii="Times New Roman" w:hAnsi="Times New Roman"/>
          <w:color w:val="000000" w:themeColor="text1"/>
          <w:sz w:val="21"/>
          <w:szCs w:val="21"/>
          <w:lang w:eastAsia="zh-CN"/>
          <w14:textFill>
            <w14:solidFill>
              <w14:schemeClr w14:val="tx1"/>
            </w14:solidFill>
          </w14:textFill>
        </w:rPr>
        <w:t xml:space="preserve">项目采购活动的合法代理人，以本单位名义全权处理一切与该项目采购有关的事务。</w:t>
      </w:r>
      <w:r/>
    </w:p>
    <w:p>
      <w:pPr>
        <w:pStyle w:val="1044"/>
        <w:ind w:firstLine="480"/>
        <w:spacing w:line="480" w:lineRule="exact"/>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 xml:space="preserve">本授权书自______年____月____日起生效，特此声明。</w:t>
      </w:r>
      <w:r/>
    </w:p>
    <w:p>
      <w:pPr>
        <w:pStyle w:val="1044"/>
        <w:ind w:firstLine="480"/>
        <w:spacing w:line="480" w:lineRule="exact"/>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 xml:space="preserve">被授权人身份证号码：</w:t>
      </w:r>
      <w:r/>
    </w:p>
    <w:p>
      <w:pPr>
        <w:pStyle w:val="1044"/>
        <w:ind w:firstLine="480"/>
        <w:spacing w:line="480" w:lineRule="exact"/>
        <w:rPr>
          <w:rFonts w:ascii="Times New Roman" w:hAnsi="Times New Roman"/>
          <w:color w:val="000000" w:themeColor="text1"/>
          <w:sz w:val="21"/>
          <w:szCs w:val="21"/>
          <w:u w:val="single"/>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 xml:space="preserve">被授权人联系电话：（手机）</w:t>
      </w:r>
      <w:r/>
    </w:p>
    <w:p>
      <w:pPr>
        <w:pStyle w:val="1044"/>
        <w:ind w:firstLine="409"/>
        <w:spacing w:line="480" w:lineRule="exact"/>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 xml:space="preserve">单位名称：（加盖电子签章）</w:t>
      </w:r>
      <w:r/>
    </w:p>
    <w:p>
      <w:pPr>
        <w:pStyle w:val="1044"/>
        <w:ind w:firstLine="409"/>
        <w:spacing w:line="480" w:lineRule="exact"/>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 xml:space="preserve">单位地址：</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w:t>
      </w:r>
      <w:r/>
    </w:p>
    <w:p>
      <w:pPr>
        <w:ind w:firstLine="84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委托代理人的身份证明文件的扫描件:</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法定代表人的身份证明文件的扫描件:</w:t>
      </w:r>
      <w:r/>
    </w:p>
    <w:p>
      <w:pPr>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附件三、开标一览表格式</w:t>
      </w:r>
      <w:r/>
    </w:p>
    <w:p>
      <w:pPr>
        <w:ind w:firstLine="3960"/>
        <w:jc w:val="left"/>
        <w:spacing w:line="360" w:lineRule="auto"/>
        <w:shd w:val="clear" w:color="auto" w:fill="ffffff"/>
        <w:widowControl/>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开标一览表</w:t>
      </w:r>
      <w:r/>
    </w:p>
    <w:p>
      <w:pPr>
        <w:pStyle w:val="948"/>
        <w:ind w:firstLine="474"/>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                                         项目编号：</w:t>
      </w:r>
      <w:r/>
    </w:p>
    <w:tbl>
      <w:tblPr>
        <w:tblStyle w:val="9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3"/>
        <w:gridCol w:w="1120"/>
        <w:gridCol w:w="3628"/>
        <w:gridCol w:w="1639"/>
      </w:tblGrid>
      <w:tr>
        <w:trPr>
          <w:trHeight w:val="829"/>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8"/>
              <w:ind w:firstLine="474"/>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投标总价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pStyle w:val="948"/>
              <w:ind w:firstLine="0"/>
              <w:spacing w:line="440" w:lineRule="exact"/>
              <w:rPr>
                <w:bCs/>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小写：人民币              </w:t>
            </w:r>
            <w:r>
              <w:rPr>
                <w:bCs/>
                <w:color w:val="000000" w:themeColor="text1"/>
                <w:sz w:val="21"/>
                <w:szCs w:val="21"/>
                <w14:textFill>
                  <w14:solidFill>
                    <w14:schemeClr w14:val="tx1"/>
                  </w14:solidFill>
                </w14:textFill>
              </w:rPr>
              <w:t xml:space="preserve">    </w:t>
            </w:r>
            <w:r/>
          </w:p>
          <w:p>
            <w:pPr>
              <w:pStyle w:val="948"/>
              <w:ind w:firstLine="474"/>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大写：人民币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8"/>
              <w:ind w:firstLine="0"/>
              <w:spacing w:line="440" w:lineRule="exact"/>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以“标书制作客户端——基本目录——开标一览表”中填写的金额为准</w:t>
            </w:r>
            <w:r/>
          </w:p>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829"/>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48"/>
              <w:ind w:firstLine="0"/>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pStyle w:val="948"/>
              <w:ind w:firstLine="474"/>
              <w:spacing w:line="440" w:lineRule="exact"/>
              <w:tabs>
                <w:tab w:val="left" w:pos="3624" w:leader="none"/>
              </w:tabs>
              <w:rPr>
                <w:color w:val="000000" w:themeColor="text1"/>
                <w:sz w:val="21"/>
                <w:szCs w:val="21"/>
                <w:u w:val="single"/>
                <w14:textFill>
                  <w14:solidFill>
                    <w14:schemeClr w14:val="tx1"/>
                  </w14:solidFill>
                </w14:textFill>
              </w:rPr>
            </w:pPr>
            <w:r>
              <w:rPr>
                <w:color w:val="000000" w:themeColor="text1"/>
                <w:sz w:val="21"/>
                <w:szCs w:val="21"/>
                <w:u w:val="single"/>
                <w14:textFill>
                  <w14:solidFill>
                    <w14:schemeClr w14:val="tx1"/>
                  </w14:solidFill>
                </w14:textFill>
              </w:rPr>
              <w:t xml:space="preserve">满足招标文件要求。</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8"/>
              <w:ind w:firstLine="474"/>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48"/>
              <w:ind w:firstLine="474"/>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1206"/>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440" w:lineRule="exact"/>
              <w:rPr>
                <w:b/>
                <w:bCs/>
                <w:color w:val="000000" w:themeColor="text1"/>
                <w:szCs w:val="21"/>
                <w14:textFill>
                  <w14:solidFill>
                    <w14:schemeClr w14:val="tx1"/>
                  </w14:solidFill>
                </w14:textFill>
              </w:rPr>
            </w:pPr>
            <w:r>
              <w:rPr>
                <w:b/>
                <w:bCs/>
                <w:color w:val="000000" w:themeColor="text1"/>
                <w14:textFill>
                  <w14:solidFill>
                    <w14:schemeClr w14:val="tx1"/>
                  </w14:solidFill>
                </w14:textFill>
              </w:rPr>
              <w:t xml:space="preserve">投标标的是否全部由小微企业提供</w:t>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ind w:firstLine="474"/>
              <w:spacing w:line="440" w:lineRule="exact"/>
              <w:rPr>
                <w:b/>
                <w:bCs/>
                <w:color w:val="000000" w:themeColor="text1"/>
                <w:szCs w:val="21"/>
                <w14:textFill>
                  <w14:solidFill>
                    <w14:schemeClr w14:val="tx1"/>
                  </w14:solidFill>
                </w14:textFill>
              </w:rPr>
            </w:pPr>
            <w:r>
              <w:rPr>
                <w:b/>
                <w:bCs/>
                <w:color w:val="000000" w:themeColor="text1"/>
                <w14:textFill>
                  <w14:solidFill>
                    <w14:schemeClr w14:val="tx1"/>
                  </w14:solidFill>
                </w14:textFill>
              </w:rPr>
              <w:t xml:space="preserve">（填写“是”或“否”）</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8"/>
              <w:ind w:firstLine="474"/>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说明：</w:t>
      </w:r>
      <w:r/>
    </w:p>
    <w:p>
      <w:pPr>
        <w:numPr>
          <w:ilvl w:val="0"/>
          <w:numId w:val="8"/>
        </w:numPr>
        <w:ind w:firstLine="422"/>
        <w:jc w:val="left"/>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b/>
          <w:bCs/>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附件四、分项报价表格式</w:t>
      </w:r>
      <w:r/>
    </w:p>
    <w:p>
      <w:pPr>
        <w:jc w:val="cente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分项报价表</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bl>
      <w:tblPr>
        <w:tblStyle w:val="946"/>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809"/>
        <w:gridCol w:w="807"/>
        <w:gridCol w:w="829"/>
        <w:gridCol w:w="709"/>
        <w:gridCol w:w="708"/>
        <w:gridCol w:w="656"/>
        <w:gridCol w:w="904"/>
        <w:gridCol w:w="1536"/>
      </w:tblGrid>
      <w:tr>
        <w:trPr>
          <w:jc w:val="center"/>
          <w:trHeight w:val="640"/>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制造商名称</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是否小、微企业产品（货物或服务）</w:t>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32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32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1105"/>
        </w:trPr>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合计：</w:t>
            </w:r>
            <w:r/>
          </w:p>
        </w:tc>
        <w:tc>
          <w:tcPr>
            <w:gridSpan w:val="7"/>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ind w:firstLine="1680"/>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元(小数点保留两位)</w:t>
            </w:r>
            <w:r/>
          </w:p>
        </w:tc>
      </w:tr>
    </w:tbl>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说明：</w:t>
      </w:r>
      <w:r/>
    </w:p>
    <w:p>
      <w:pPr>
        <w:numPr>
          <w:ilvl w:val="0"/>
          <w:numId w:val="9"/>
        </w:num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如果行数不够，请自行增加。</w:t>
      </w:r>
      <w:r/>
    </w:p>
    <w:p>
      <w:pPr>
        <w:numPr>
          <w:ilvl w:val="0"/>
          <w:numId w:val="9"/>
        </w:numPr>
        <w:jc w:val="left"/>
        <w:spacing w:after="0"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未注明小微企业的，不享受价格扣除。</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投标单位（电子签章）：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rPr>
          <w:b/>
          <w:bCs/>
          <w:color w:val="000000" w:themeColor="text1"/>
          <w:szCs w:val="21"/>
          <w14:textFill>
            <w14:solidFill>
              <w14:schemeClr w14:val="tx1"/>
            </w14:solidFill>
          </w14:textFill>
        </w:rPr>
        <w:t xml:space="preserve">附件五、技术规格偏离表格式</w:t>
      </w:r>
      <w:r/>
    </w:p>
    <w:p>
      <w:pPr>
        <w:ind w:left="435"/>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ind w:left="420"/>
        <w:jc w:val="cente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技术规格偏离表</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bl>
      <w:tblPr>
        <w:tblStyle w:val="946"/>
        <w:tblW w:w="8326" w:type="dxa"/>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329"/>
        <w:gridCol w:w="1683"/>
        <w:gridCol w:w="1246"/>
      </w:tblGrid>
      <w:tr>
        <w:trPr>
          <w:jc w:val="center"/>
          <w:trHeight w:val="284"/>
        </w:trPr>
        <w:tc>
          <w:tcPr>
            <w:gridSpan w:val="4"/>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5397"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2929"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招标要求规格</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偏离</w:t>
            </w:r>
            <w:r/>
          </w:p>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（正/负/无）</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jc w:val="center"/>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012"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说明：</w:t>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1、必须对应招标文件第四章的内容逐一响应。如行数不够，请自行增加。</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pStyle w:val="988"/>
        <w:rPr>
          <w:rFonts w:ascii="Times New Roman" w:hAnsi="Times New Roman" w:eastAsia="宋体" w:cs="Times New Roman"/>
        </w:rPr>
      </w:pPr>
      <w:r>
        <w:rPr>
          <w:rFonts w:ascii="Times New Roman" w:hAnsi="Times New Roman" w:eastAsia="宋体" w:cs="Times New Roman"/>
        </w:rPr>
      </w:r>
      <w:r/>
    </w:p>
    <w:p>
      <w:pPr>
        <w:jc w:val="left"/>
        <w:spacing w:line="360" w:lineRule="auto"/>
        <w:shd w:val="clear" w:color="auto" w:fill="ffffff"/>
        <w:widowControl/>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附件六、商务条款偏离表格式</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ind w:left="420"/>
        <w:jc w:val="center"/>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商务条款偏离表</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bl>
      <w:tblPr>
        <w:tblStyle w:val="946"/>
        <w:tblpPr w:horzAnchor="page" w:tblpX="1787" w:vertAnchor="text" w:tblpY="642"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0"/>
        <w:gridCol w:w="1319"/>
        <w:gridCol w:w="2240"/>
        <w:gridCol w:w="1247"/>
        <w:gridCol w:w="1758"/>
        <w:gridCol w:w="1202"/>
      </w:tblGrid>
      <w:tr>
        <w:trP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22"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1777"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偏离</w:t>
            </w:r>
            <w:r/>
          </w:p>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（正/负）</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3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c>
          <w:tcPr>
            <w:gridSpan w:val="6"/>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000"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除上述条款外均无偏离</w:t>
            </w:r>
            <w:r/>
          </w:p>
        </w:tc>
      </w:tr>
      <w:tr>
        <w:trPr/>
        <w:tc>
          <w:tcPr>
            <w:tcW w:w="336"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92"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345"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47"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056"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721" w:type="pct"/>
            <w:vAlign w:val="center"/>
            <w:textDirection w:val="lrTb"/>
            <w:noWrap w:val="false"/>
          </w:tcPr>
          <w:p>
            <w:pPr>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说明：仅需列明正、负偏离的条款。如行数不够，请自行增加。</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shd w:val="clear" w:color="auto" w:fill="ffffff"/>
        <w:widowControl/>
        <w:rPr>
          <w:b/>
          <w:color w:val="000000" w:themeColor="text1"/>
          <w:szCs w:val="21"/>
          <w:lang w:val="zh-CN"/>
          <w14:textFill>
            <w14:solidFill>
              <w14:schemeClr w14:val="tx1"/>
            </w14:solidFill>
          </w14:textFill>
        </w:rPr>
      </w:pPr>
      <w:r>
        <w:rPr>
          <w:b/>
          <w:bCs/>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附件七、</w:t>
      </w:r>
      <w:r>
        <w:rPr>
          <w:b/>
          <w:color w:val="000000" w:themeColor="text1"/>
          <w:szCs w:val="21"/>
          <w:lang w:val="zh-CN"/>
          <w14:textFill>
            <w14:solidFill>
              <w14:schemeClr w14:val="tx1"/>
            </w14:solidFill>
          </w14:textFill>
        </w:rPr>
        <w:t xml:space="preserve">实施方案与售后服务</w:t>
      </w:r>
      <w:r/>
    </w:p>
    <w:p>
      <w:pPr>
        <w:jc w:val="left"/>
        <w:spacing w:line="360" w:lineRule="auto"/>
        <w:shd w:val="clear" w:color="auto" w:fill="ffffff"/>
        <w:widowControl/>
        <w:rPr>
          <w:b/>
          <w:color w:val="000000" w:themeColor="text1"/>
          <w:szCs w:val="21"/>
          <w:lang w:val="zh-CN"/>
          <w14:textFill>
            <w14:solidFill>
              <w14:schemeClr w14:val="tx1"/>
            </w14:solidFill>
          </w14:textFill>
        </w:rPr>
      </w:pPr>
      <w:r>
        <w:rPr>
          <w:b/>
          <w:color w:val="000000" w:themeColor="text1"/>
          <w:szCs w:val="21"/>
          <w:lang w:val="zh-CN"/>
          <w14:textFill>
            <w14:solidFill>
              <w14:schemeClr w14:val="tx1"/>
            </w14:solidFill>
          </w14:textFill>
        </w:rPr>
      </w:r>
      <w:r/>
    </w:p>
    <w:p>
      <w:pPr>
        <w:jc w:val="left"/>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附件八：拟参与本项目服务人员一览表</w:t>
      </w:r>
      <w:r/>
    </w:p>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拟参与本项目服务人员一览表</w:t>
      </w:r>
      <w:r/>
    </w:p>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 </w:t>
      </w:r>
      <w:r/>
    </w:p>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                                 项目编号：</w:t>
      </w:r>
      <w:r/>
    </w:p>
    <w:tbl>
      <w:tblPr>
        <w:tblStyle w:val="94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525"/>
        <w:gridCol w:w="881"/>
        <w:gridCol w:w="651"/>
        <w:gridCol w:w="697"/>
        <w:gridCol w:w="651"/>
        <w:gridCol w:w="1023"/>
        <w:gridCol w:w="835"/>
        <w:gridCol w:w="975"/>
        <w:gridCol w:w="698"/>
        <w:gridCol w:w="836"/>
        <w:gridCol w:w="743"/>
      </w:tblGrid>
      <w:tr>
        <w:trPr>
          <w:jc w:val="center"/>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517"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执业</w:t>
            </w:r>
            <w:r/>
          </w:p>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572"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435" w:type="pct"/>
            <w:vAlign w:val="center"/>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w:t>
      </w:r>
      <w:r/>
    </w:p>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说明：</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1、“备注”栏，可填写该人员擅长的工程（或工作）种类；</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2、请同时提供以上人员的相关简历、社保证明、职称或执业资格等证明材料。</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 </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附件九、 投标人类似业绩情况表</w:t>
      </w:r>
      <w:r/>
    </w:p>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 </w:t>
      </w:r>
      <w:r/>
    </w:p>
    <w:p>
      <w:pPr>
        <w:jc w:val="cente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投标人近三年类似业绩情况表</w:t>
      </w:r>
      <w:r/>
    </w:p>
    <w:tbl>
      <w:tblPr>
        <w:tblStyle w:val="946"/>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11"/>
        <w:gridCol w:w="1402"/>
        <w:gridCol w:w="1277"/>
        <w:gridCol w:w="892"/>
        <w:gridCol w:w="929"/>
        <w:gridCol w:w="1366"/>
        <w:gridCol w:w="1020"/>
        <w:gridCol w:w="1020"/>
      </w:tblGrid>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22"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w:t>
            </w:r>
            <w:r/>
          </w:p>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545" w:type="pct"/>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获奖</w:t>
            </w:r>
            <w:r/>
          </w:p>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情况</w:t>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签约及服务</w:t>
            </w:r>
            <w:r/>
          </w:p>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ind w:firstLine="1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 </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说明：请投标人根据本格式要求如实填写业绩情况表，并附业绩合同扫描件与获奖证明。</w:t>
      </w:r>
      <w:r/>
    </w:p>
    <w:p>
      <w:pPr>
        <w:spacing w:line="360" w:lineRule="auto"/>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开标时请携带相应业绩合同原件备查（如涉及）。</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w:t>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br w:type="page" w:clear="all"/>
      </w:r>
      <w:r>
        <w:rPr>
          <w:b/>
          <w:color w:val="000000" w:themeColor="text1"/>
          <w:szCs w:val="21"/>
          <w14:textFill>
            <w14:solidFill>
              <w14:schemeClr w14:val="tx1"/>
            </w14:solidFill>
          </w14:textFill>
        </w:rPr>
        <w:t xml:space="preserve">附件十、</w:t>
      </w:r>
      <w:r>
        <w:rPr>
          <w:b/>
          <w:bCs/>
          <w:color w:val="000000" w:themeColor="text1"/>
          <w:szCs w:val="21"/>
          <w14:textFill>
            <w14:solidFill>
              <w14:schemeClr w14:val="tx1"/>
            </w14:solidFill>
          </w14:textFill>
        </w:rPr>
        <w:t xml:space="preserve">小微企业声明函格式</w:t>
      </w:r>
      <w:r/>
    </w:p>
    <w:p>
      <w:pPr>
        <w:jc w:val="center"/>
        <w:spacing w:before="312" w:line="360" w:lineRule="auto"/>
        <w:shd w:val="clear" w:color="auto" w:fill="ffffff"/>
        <w:widowControl/>
        <w:rPr>
          <w:color w:val="000000" w:themeColor="text1"/>
          <w:szCs w:val="21"/>
          <w14:textFill>
            <w14:solidFill>
              <w14:schemeClr w14:val="tx1"/>
            </w14:solidFill>
          </w14:textFill>
        </w:rPr>
      </w:pPr>
      <w:r/>
      <w:bookmarkStart w:id="39" w:name="OLE_LINK14"/>
      <w:r/>
      <w:bookmarkStart w:id="40" w:name="OLE_LINK13"/>
      <w:r>
        <w:rPr>
          <w:b/>
          <w:color w:val="000000" w:themeColor="text1"/>
          <w:szCs w:val="21"/>
          <w14:textFill>
            <w14:solidFill>
              <w14:schemeClr w14:val="tx1"/>
            </w14:solidFill>
          </w14:textFill>
        </w:rPr>
        <w:t xml:space="preserve">中小企业声明函（货物）</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szCs w:val="21"/>
          <w:u w:val="single"/>
          <w14:textFill>
            <w14:solidFill>
              <w14:schemeClr w14:val="tx1"/>
            </w14:solidFill>
          </w14:textFill>
        </w:rPr>
        <w:t xml:space="preserve">（单位名称）</w:t>
      </w:r>
      <w:r>
        <w:rPr>
          <w:color w:val="000000" w:themeColor="text1"/>
          <w:szCs w:val="21"/>
          <w14:textFill>
            <w14:solidFill>
              <w14:schemeClr w14:val="tx1"/>
            </w14:solidFill>
          </w14:textFill>
        </w:rPr>
        <w:t xml:space="preserve">的</w:t>
      </w:r>
      <w:r>
        <w:rPr>
          <w:color w:val="000000" w:themeColor="text1"/>
          <w:szCs w:val="21"/>
          <w:u w:val="single"/>
          <w14:textFill>
            <w14:solidFill>
              <w14:schemeClr w14:val="tx1"/>
            </w14:solidFill>
          </w14:textFill>
        </w:rPr>
        <w:t xml:space="preserve">（项目名称）</w:t>
      </w:r>
      <w:r>
        <w:rPr>
          <w:color w:val="000000" w:themeColor="text1"/>
          <w:szCs w:val="2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 </w:t>
      </w:r>
      <w:r>
        <w:rPr>
          <w:color w:val="000000" w:themeColor="text1"/>
          <w:szCs w:val="21"/>
          <w:u w:val="single"/>
          <w14:textFill>
            <w14:solidFill>
              <w14:schemeClr w14:val="tx1"/>
            </w14:solidFill>
          </w14:textFill>
        </w:rPr>
        <w:t xml:space="preserve">（标的名称）</w:t>
      </w:r>
      <w:r>
        <w:rPr>
          <w:color w:val="000000" w:themeColor="text1"/>
          <w:szCs w:val="21"/>
          <w14:textFill>
            <w14:solidFill>
              <w14:schemeClr w14:val="tx1"/>
            </w14:solidFill>
          </w14:textFill>
        </w:rPr>
        <w:t xml:space="preserve"> ，属于</w:t>
      </w:r>
      <w:r>
        <w:rPr>
          <w:color w:val="000000" w:themeColor="text1"/>
          <w:szCs w:val="21"/>
          <w:u w:val="single"/>
          <w14:textFill>
            <w14:solidFill>
              <w14:schemeClr w14:val="tx1"/>
            </w14:solidFill>
          </w14:textFill>
        </w:rPr>
        <w:t xml:space="preserve">（采购文件中明确的所属行业）行业</w:t>
      </w:r>
      <w:r>
        <w:rPr>
          <w:color w:val="000000" w:themeColor="text1"/>
          <w:szCs w:val="21"/>
          <w14:textFill>
            <w14:solidFill>
              <w14:schemeClr w14:val="tx1"/>
            </w14:solidFill>
          </w14:textFill>
        </w:rPr>
        <w:t xml:space="preserve">；制造商为</w:t>
      </w:r>
      <w:r>
        <w:rPr>
          <w:color w:val="000000" w:themeColor="text1"/>
          <w:szCs w:val="21"/>
          <w:u w:val="single"/>
          <w14:textFill>
            <w14:solidFill>
              <w14:schemeClr w14:val="tx1"/>
            </w14:solidFill>
          </w14:textFill>
        </w:rPr>
        <w:t xml:space="preserve">（企业名称）</w:t>
      </w:r>
      <w:r>
        <w:rPr>
          <w:color w:val="000000" w:themeColor="text1"/>
          <w:szCs w:val="21"/>
          <w14:textFill>
            <w14:solidFill>
              <w14:schemeClr w14:val="tx1"/>
            </w14:solidFill>
          </w14:textFill>
        </w:rPr>
        <w:t xml:space="preserve">，从业人员</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人，营业收入为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万元，资产总额为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万元</w:t>
      </w:r>
      <w:r>
        <w:rPr>
          <w:color w:val="000000" w:themeColor="text1"/>
          <w:szCs w:val="21"/>
          <w:vertAlign w:val="superscript"/>
          <w14:textFill>
            <w14:solidFill>
              <w14:schemeClr w14:val="tx1"/>
            </w14:solidFill>
          </w14:textFill>
        </w:rPr>
        <w:t xml:space="preserve">1</w:t>
      </w:r>
      <w:r>
        <w:rPr>
          <w:color w:val="000000" w:themeColor="text1"/>
          <w:szCs w:val="21"/>
          <w14:textFill>
            <w14:solidFill>
              <w14:schemeClr w14:val="tx1"/>
            </w14:solidFill>
          </w14:textFill>
        </w:rPr>
        <w:t xml:space="preserve">，属于</w:t>
      </w:r>
      <w:r>
        <w:rPr>
          <w:color w:val="000000" w:themeColor="text1"/>
          <w:szCs w:val="21"/>
          <w:u w:val="single"/>
          <w14:textFill>
            <w14:solidFill>
              <w14:schemeClr w14:val="tx1"/>
            </w14:solidFill>
          </w14:textFill>
        </w:rPr>
        <w:t xml:space="preserve">（中型企业、小型企业、微型企业）</w:t>
      </w:r>
      <w:r>
        <w:rPr>
          <w:color w:val="000000" w:themeColor="text1"/>
          <w:szCs w:val="21"/>
          <w14:textFill>
            <w14:solidFill>
              <w14:schemeClr w14:val="tx1"/>
            </w14:solidFill>
          </w14:textFill>
        </w:rPr>
        <w:t xml:space="preserve">；</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 </w:t>
      </w:r>
      <w:r>
        <w:rPr>
          <w:color w:val="000000" w:themeColor="text1"/>
          <w:szCs w:val="21"/>
          <w:u w:val="single"/>
          <w14:textFill>
            <w14:solidFill>
              <w14:schemeClr w14:val="tx1"/>
            </w14:solidFill>
          </w14:textFill>
        </w:rPr>
        <w:t xml:space="preserve">（标的名称）</w:t>
      </w:r>
      <w:r>
        <w:rPr>
          <w:color w:val="000000" w:themeColor="text1"/>
          <w:szCs w:val="21"/>
          <w14:textFill>
            <w14:solidFill>
              <w14:schemeClr w14:val="tx1"/>
            </w14:solidFill>
          </w14:textFill>
        </w:rPr>
        <w:t xml:space="preserve"> ，属于</w:t>
      </w:r>
      <w:r>
        <w:rPr>
          <w:color w:val="000000" w:themeColor="text1"/>
          <w:szCs w:val="21"/>
          <w:u w:val="single"/>
          <w14:textFill>
            <w14:solidFill>
              <w14:schemeClr w14:val="tx1"/>
            </w14:solidFill>
          </w14:textFill>
        </w:rPr>
        <w:t xml:space="preserve">（采购文件中明确的所属行业）行业</w:t>
      </w:r>
      <w:r>
        <w:rPr>
          <w:color w:val="000000" w:themeColor="text1"/>
          <w:szCs w:val="21"/>
          <w14:textFill>
            <w14:solidFill>
              <w14:schemeClr w14:val="tx1"/>
            </w14:solidFill>
          </w14:textFill>
        </w:rPr>
        <w:t xml:space="preserve">；制造商为</w:t>
      </w:r>
      <w:r>
        <w:rPr>
          <w:color w:val="000000" w:themeColor="text1"/>
          <w:szCs w:val="21"/>
          <w:u w:val="single"/>
          <w14:textFill>
            <w14:solidFill>
              <w14:schemeClr w14:val="tx1"/>
            </w14:solidFill>
          </w14:textFill>
        </w:rPr>
        <w:t xml:space="preserve">（企业名称）</w:t>
      </w:r>
      <w:r>
        <w:rPr>
          <w:color w:val="000000" w:themeColor="text1"/>
          <w:szCs w:val="21"/>
          <w14:textFill>
            <w14:solidFill>
              <w14:schemeClr w14:val="tx1"/>
            </w14:solidFill>
          </w14:textFill>
        </w:rPr>
        <w:t xml:space="preserve">，从业人员</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人，营业收入为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万元，资产总额为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万元，属于</w:t>
      </w:r>
      <w:r>
        <w:rPr>
          <w:color w:val="000000" w:themeColor="text1"/>
          <w:szCs w:val="21"/>
          <w:u w:val="single"/>
          <w14:textFill>
            <w14:solidFill>
              <w14:schemeClr w14:val="tx1"/>
            </w14:solidFill>
          </w14:textFill>
        </w:rPr>
        <w:t xml:space="preserve">（中型企业、小型企业、微型企业）</w:t>
      </w:r>
      <w:r>
        <w:rPr>
          <w:color w:val="000000" w:themeColor="text1"/>
          <w:szCs w:val="21"/>
          <w14:textFill>
            <w14:solidFill>
              <w14:schemeClr w14:val="tx1"/>
            </w14:solidFill>
          </w14:textFill>
        </w:rPr>
        <w:t xml:space="preserve">；</w:t>
      </w:r>
      <w:r/>
    </w:p>
    <w:p>
      <w:pPr>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本企业对上述声明内容的真实性负责。如有虚假，将依法承担相应责任。</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jc w:val="righ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投标单位（电子签章）： </w:t>
      </w:r>
      <w:r/>
    </w:p>
    <w:p>
      <w:pPr>
        <w:jc w:val="righ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日期：                </w:t>
      </w:r>
      <w:r/>
    </w:p>
    <w:p>
      <w:pPr>
        <w:ind w:firstLine="361"/>
        <w:spacing w:after="0" w:line="240" w:lineRule="auto"/>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1.从业人员、营业收入、资产总额填报上一年度数据，无上一年度数据的新成立企业可不填报。</w:t>
      </w:r>
      <w:r/>
    </w:p>
    <w:p>
      <w:pPr>
        <w:ind w:firstLine="361"/>
        <w:spacing w:after="0" w:line="240" w:lineRule="auto"/>
        <w:rPr>
          <w:b/>
          <w:bCs/>
          <w:color w:val="000000" w:themeColor="text1"/>
          <w:sz w:val="18"/>
          <w:szCs w:val="18"/>
          <w14:textFill>
            <w14:solidFill>
              <w14:schemeClr w14:val="tx1"/>
            </w14:solidFill>
          </w14:textFill>
        </w:rPr>
      </w:pPr>
      <w:r/>
      <w:bookmarkStart w:id="41" w:name="_Hlk106197948"/>
      <w:r>
        <w:rPr>
          <w:b/>
          <w:bCs/>
          <w:color w:val="000000" w:themeColor="text1"/>
          <w:sz w:val="18"/>
          <w:szCs w:val="18"/>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bookmarkEnd w:id="41"/>
      <w:r/>
      <w:r/>
    </w:p>
    <w:p>
      <w:pPr>
        <w:jc w:val="center"/>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rPr>
          <w:b/>
          <w:bCs/>
          <w:color w:val="000000" w:themeColor="text1"/>
          <w:szCs w:val="21"/>
          <w14:textFill>
            <w14:solidFill>
              <w14:schemeClr w14:val="tx1"/>
            </w14:solidFill>
          </w14:textFill>
        </w:rPr>
        <w:t xml:space="preserve">残疾人福利性单位声明函</w:t>
      </w:r>
      <w:r/>
    </w:p>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（非残疾人福利性单位无需填写提供）</w:t>
      </w:r>
      <w:bookmarkEnd w:id="39"/>
      <w:r/>
      <w:bookmarkEnd w:id="40"/>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本单位对上述声明的真实性负责。如有虚假，将依法承担相应责任。</w:t>
      </w:r>
      <w:r/>
    </w:p>
    <w:p>
      <w:pPr>
        <w:ind w:firstLine="504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w:t>
      </w:r>
      <w:r/>
    </w:p>
    <w:p>
      <w:pPr>
        <w:ind w:firstLine="504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w:t>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附件</w:t>
      </w:r>
      <w:r>
        <w:rPr>
          <w:b/>
          <w:bCs/>
          <w:color w:val="000000" w:themeColor="text1"/>
          <w:szCs w:val="21"/>
          <w14:textFill>
            <w14:solidFill>
              <w14:schemeClr w14:val="tx1"/>
            </w14:solidFill>
          </w14:textFill>
        </w:rPr>
        <w:t xml:space="preserve">十一：</w:t>
      </w:r>
      <w:r/>
    </w:p>
    <w:p>
      <w:pPr>
        <w:jc w:val="cente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属于监狱企业的证明文件</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（提供由省级以上监狱管理局、戒毒管理局(含新疆生产建设兵团)出具的属于监狱企业的证明文件）</w:t>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lang w:val="zh-CN"/>
          <w14:textFill>
            <w14:solidFill>
              <w14:schemeClr w14:val="tx1"/>
            </w14:solidFill>
          </w14:textFill>
        </w:rPr>
        <w:br w:type="page" w:clear="all"/>
      </w:r>
      <w:r>
        <w:rPr>
          <w:b/>
          <w:color w:val="000000" w:themeColor="text1"/>
          <w:szCs w:val="21"/>
          <w14:textFill>
            <w14:solidFill>
              <w14:schemeClr w14:val="tx1"/>
            </w14:solidFill>
          </w14:textFill>
        </w:rPr>
        <w:t xml:space="preserve">附件十二、无重大违法记录声明格式</w:t>
      </w:r>
      <w:r/>
    </w:p>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无重大违法记录声明</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江苏省设备成套股份有限公司：</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我单位</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（供应商名称）郑重声明：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参加政府采购活动前3年内在经营活动中</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（在下划线上如实填写：有或没有）重大违法记录。</w:t>
      </w:r>
      <w:r/>
    </w:p>
    <w:p>
      <w:pPr>
        <w:ind w:firstLine="315"/>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935"/>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投标单位（电子签章）：</w:t>
      </w:r>
      <w:r/>
    </w:p>
    <w:p>
      <w:pPr>
        <w:jc w:val="left"/>
        <w:spacing w:line="360" w:lineRule="auto"/>
        <w:rPr>
          <w:b/>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日        期：        年    月    </w:t>
      </w:r>
      <w:r>
        <w:rPr>
          <w:b/>
          <w:color w:val="000000" w:themeColor="text1"/>
          <w:szCs w:val="21"/>
          <w:lang w:val="zh-CN"/>
          <w14:textFill>
            <w14:solidFill>
              <w14:schemeClr w14:val="tx1"/>
            </w14:solidFill>
          </w14:textFill>
        </w:rPr>
        <w:br w:type="page" w:clear="all"/>
      </w:r>
      <w:r>
        <w:rPr>
          <w:b/>
          <w:color w:val="000000" w:themeColor="text1"/>
          <w:szCs w:val="21"/>
          <w14:textFill>
            <w14:solidFill>
              <w14:schemeClr w14:val="tx1"/>
            </w14:solidFill>
          </w14:textFill>
        </w:rPr>
        <w:t xml:space="preserve">附件十三、资格资信证明文件</w:t>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附件十四、 其他</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shd w:val="clear" w:color="auto" w:fill="ffffff"/>
        <w:widowControl/>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2"/>
      <w:footerReference w:type="first" r:id="rId13"/>
      <w:footnotePr/>
      <w:endnotePr/>
      <w:type w:val="nextPage"/>
      <w:pgSz w:w="11906" w:h="16838" w:orient="portrait"/>
      <w:pgMar w:top="1440" w:right="1800" w:bottom="1440" w:left="1800" w:header="907"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Microsoft YaHei UI">
    <w:panose1 w:val="020B0503020204020204"/>
  </w:font>
  <w:font w:name="Courier New">
    <w:panose1 w:val="02070309020205020404"/>
  </w:font>
  <w:font w:name="KNLe">
    <w:panose1 w:val="020B0503020202020204"/>
  </w:font>
  <w:font w:name="华文细黑">
    <w:panose1 w:val="02010600040101010101"/>
  </w:font>
  <w:font w:name="仿宋_GB2312">
    <w:panose1 w:val="02010609060101010101"/>
  </w:font>
  <w:font w:name="华文中宋">
    <w:panose1 w:val="0201060004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18355727"/>
      <w:rPr/>
    </w:sdtPr>
    <w:sdtContent>
      <w:sdt>
        <w:sdtPr>
          <w15:appearance w15:val="boundingBox"/>
          <w:id w:val="1728636285"/>
          <w:rPr/>
        </w:sdtPr>
        <w:sdtContent>
          <w:p>
            <w:pPr>
              <w:pStyle w:val="96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sdtContent>
      </w:sdt>
    </w:sdtContent>
  </w:sdt>
  <w:p>
    <w:pPr>
      <w:pStyle w:val="9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66981555"/>
      <w:rPr/>
    </w:sdtPr>
    <w:sdtContent>
      <w:sdt>
        <w:sdtPr>
          <w15:appearance w15:val="boundingBox"/>
          <w:id w:val="-1407994486"/>
          <w:rPr/>
        </w:sdtPr>
        <w:sdtContent>
          <w:p>
            <w:pPr>
              <w:pStyle w:val="96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sdtContent>
      </w:sdt>
    </w:sdtContent>
  </w:sdt>
  <w:p>
    <w:pPr>
      <w:pStyle w:val="96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52871176"/>
      <w:rPr/>
    </w:sdtPr>
    <w:sdtContent>
      <w:sdt>
        <w:sdtPr>
          <w15:appearance w15:val="boundingBox"/>
          <w:id w:val="44731622"/>
          <w:rPr/>
        </w:sdtPr>
        <w:sdtContent>
          <w:p>
            <w:pPr>
              <w:pStyle w:val="96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chineseCountingThousand"/>
      <w:pStyle w:val="936"/>
      <w:isLgl w:val="false"/>
      <w:suff w:val="nothing"/>
      <w:lvlText w:val="第%1章"/>
      <w:lvlJc w:val="left"/>
      <w:pPr>
        <w:ind w:left="0" w:firstLine="0"/>
      </w:pPr>
    </w:lvl>
    <w:lvl w:ilvl="1">
      <w:start w:val="1"/>
      <w:numFmt w:val="none"/>
      <w:pStyle w:val="937"/>
      <w:isLgl w:val="false"/>
      <w:suff w:val="nothing"/>
      <w:lvlText w:val=""/>
      <w:lvlJc w:val="left"/>
      <w:pPr>
        <w:ind w:left="0" w:firstLine="0"/>
      </w:pPr>
    </w:lvl>
    <w:lvl w:ilvl="2">
      <w:start w:val="1"/>
      <w:numFmt w:val="none"/>
      <w:pStyle w:val="938"/>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pStyle w:val="940"/>
      <w:isLgl w:val="false"/>
      <w:suff w:val="nothing"/>
      <w:lvlText w:val=""/>
      <w:lvlJc w:val="left"/>
      <w:pPr>
        <w:ind w:left="0" w:firstLine="0"/>
      </w:pPr>
    </w:lvl>
    <w:lvl w:ilvl="5">
      <w:start w:val="1"/>
      <w:numFmt w:val="none"/>
      <w:pStyle w:val="941"/>
      <w:isLgl w:val="false"/>
      <w:suff w:val="nothing"/>
      <w:lvlText w:val=""/>
      <w:lvlJc w:val="left"/>
      <w:pPr>
        <w:ind w:left="0" w:firstLine="0"/>
      </w:pPr>
    </w:lvl>
    <w:lvl w:ilvl="6">
      <w:start w:val="1"/>
      <w:numFmt w:val="none"/>
      <w:pStyle w:val="942"/>
      <w:isLgl w:val="false"/>
      <w:suff w:val="nothing"/>
      <w:lvlText w:val=""/>
      <w:lvlJc w:val="left"/>
      <w:pPr>
        <w:ind w:left="0" w:firstLine="0"/>
      </w:pPr>
    </w:lvl>
    <w:lvl w:ilvl="7">
      <w:start w:val="1"/>
      <w:numFmt w:val="none"/>
      <w:pStyle w:val="943"/>
      <w:isLgl w:val="false"/>
      <w:suff w:val="nothing"/>
      <w:lvlText w:val=""/>
      <w:lvlJc w:val="left"/>
      <w:pPr>
        <w:ind w:left="0" w:firstLine="0"/>
      </w:pPr>
    </w:lvl>
    <w:lvl w:ilvl="8">
      <w:start w:val="1"/>
      <w:numFmt w:val="none"/>
      <w:pStyle w:val="944"/>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right"/>
      <w:pPr>
        <w:ind w:left="420" w:hanging="420"/>
        <w:tabs>
          <w:tab w:val="left" w:pos="0" w:leader="none"/>
        </w:tabs>
      </w:pPr>
    </w:lvl>
    <w:lvl w:ilvl="1">
      <w:start w:val="1"/>
      <w:numFmt w:val="lowerLetter"/>
      <w:isLgl w:val="false"/>
      <w:suff w:val="tab"/>
      <w:lvlText w:val="%2)"/>
      <w:lvlJc w:val="left"/>
      <w:pPr>
        <w:ind w:left="1408" w:hanging="420"/>
        <w:tabs>
          <w:tab w:val="left" w:pos="0" w:leader="none"/>
        </w:tabs>
      </w:pPr>
    </w:lvl>
    <w:lvl w:ilvl="2">
      <w:start w:val="1"/>
      <w:numFmt w:val="lowerRoman"/>
      <w:isLgl w:val="false"/>
      <w:suff w:val="tab"/>
      <w:lvlText w:val="%3."/>
      <w:lvlJc w:val="right"/>
      <w:pPr>
        <w:ind w:left="1828" w:hanging="420"/>
        <w:tabs>
          <w:tab w:val="left" w:pos="0" w:leader="none"/>
        </w:tabs>
      </w:pPr>
    </w:lvl>
    <w:lvl w:ilvl="3">
      <w:start w:val="1"/>
      <w:numFmt w:val="decimal"/>
      <w:isLgl w:val="false"/>
      <w:suff w:val="tab"/>
      <w:lvlText w:val="%4."/>
      <w:lvlJc w:val="left"/>
      <w:pPr>
        <w:ind w:left="2248" w:hanging="420"/>
        <w:tabs>
          <w:tab w:val="left" w:pos="0" w:leader="none"/>
        </w:tabs>
      </w:pPr>
    </w:lvl>
    <w:lvl w:ilvl="4">
      <w:start w:val="1"/>
      <w:numFmt w:val="lowerLetter"/>
      <w:isLgl w:val="false"/>
      <w:suff w:val="tab"/>
      <w:lvlText w:val="%5)"/>
      <w:lvlJc w:val="left"/>
      <w:pPr>
        <w:ind w:left="2668" w:hanging="420"/>
        <w:tabs>
          <w:tab w:val="left" w:pos="0" w:leader="none"/>
        </w:tabs>
      </w:pPr>
    </w:lvl>
    <w:lvl w:ilvl="5">
      <w:start w:val="1"/>
      <w:numFmt w:val="lowerRoman"/>
      <w:isLgl w:val="false"/>
      <w:suff w:val="tab"/>
      <w:lvlText w:val="%6."/>
      <w:lvlJc w:val="right"/>
      <w:pPr>
        <w:ind w:left="3088" w:hanging="420"/>
        <w:tabs>
          <w:tab w:val="left" w:pos="0" w:leader="none"/>
        </w:tabs>
      </w:pPr>
    </w:lvl>
    <w:lvl w:ilvl="6">
      <w:start w:val="1"/>
      <w:numFmt w:val="decimal"/>
      <w:isLgl w:val="false"/>
      <w:suff w:val="tab"/>
      <w:lvlText w:val="%7."/>
      <w:lvlJc w:val="left"/>
      <w:pPr>
        <w:ind w:left="3508" w:hanging="420"/>
        <w:tabs>
          <w:tab w:val="left" w:pos="0" w:leader="none"/>
        </w:tabs>
      </w:pPr>
    </w:lvl>
    <w:lvl w:ilvl="7">
      <w:start w:val="1"/>
      <w:numFmt w:val="lowerLetter"/>
      <w:isLgl w:val="false"/>
      <w:suff w:val="tab"/>
      <w:lvlText w:val="%8)"/>
      <w:lvlJc w:val="left"/>
      <w:pPr>
        <w:ind w:left="3928" w:hanging="420"/>
        <w:tabs>
          <w:tab w:val="left" w:pos="0" w:leader="none"/>
        </w:tabs>
      </w:pPr>
    </w:lvl>
    <w:lvl w:ilvl="8">
      <w:start w:val="1"/>
      <w:numFmt w:val="lowerRoman"/>
      <w:isLgl w:val="false"/>
      <w:suff w:val="tab"/>
      <w:lvlText w:val="%9."/>
      <w:lvlJc w:val="right"/>
      <w:pPr>
        <w:ind w:left="4348" w:hanging="420"/>
        <w:tabs>
          <w:tab w:val="left" w:pos="0" w:leader="none"/>
        </w:tabs>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28" w:hanging="360"/>
        <w:tabs>
          <w:tab w:val="left" w:pos="928"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chineseCountingThousand"/>
      <w:pStyle w:val="105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9"/>
      <w:isLgl/>
      <w:suff w:val="tab"/>
      <w:lvlText w:val="%1.%2"/>
      <w:lvlJc w:val="left"/>
      <w:pPr>
        <w:ind w:left="425" w:hanging="425"/>
      </w:pPr>
      <w:rPr>
        <w:rFonts w:hint="eastAsia" w:ascii="Arial Unicode MS" w:hAnsi="Arial Unicode MS" w:eastAsia="微软雅黑"/>
        <w:b/>
        <w:i w:val="0"/>
      </w:rPr>
    </w:lvl>
    <w:lvl w:ilvl="2">
      <w:start w:val="1"/>
      <w:numFmt w:val="decimal"/>
      <w:pStyle w:val="114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290" w:hanging="360"/>
      </w:pPr>
    </w:lvl>
    <w:lvl w:ilvl="1">
      <w:start w:val="1"/>
      <w:numFmt w:val="lowerLetter"/>
      <w:isLgl w:val="false"/>
      <w:suff w:val="tab"/>
      <w:lvlText w:val="%2)"/>
      <w:lvlJc w:val="left"/>
      <w:pPr>
        <w:ind w:left="1770" w:hanging="420"/>
      </w:pPr>
    </w:lvl>
    <w:lvl w:ilvl="2">
      <w:start w:val="1"/>
      <w:numFmt w:val="lowerRoman"/>
      <w:isLgl w:val="false"/>
      <w:suff w:val="tab"/>
      <w:lvlText w:val="%3."/>
      <w:lvlJc w:val="right"/>
      <w:pPr>
        <w:ind w:left="2190" w:hanging="420"/>
      </w:pPr>
    </w:lvl>
    <w:lvl w:ilvl="3">
      <w:start w:val="1"/>
      <w:numFmt w:val="decimal"/>
      <w:isLgl w:val="false"/>
      <w:suff w:val="tab"/>
      <w:lvlText w:val="%4."/>
      <w:lvlJc w:val="left"/>
      <w:pPr>
        <w:ind w:left="2610" w:hanging="420"/>
      </w:pPr>
    </w:lvl>
    <w:lvl w:ilvl="4">
      <w:start w:val="1"/>
      <w:numFmt w:val="lowerLetter"/>
      <w:isLgl w:val="false"/>
      <w:suff w:val="tab"/>
      <w:lvlText w:val="%5)"/>
      <w:lvlJc w:val="left"/>
      <w:pPr>
        <w:ind w:left="3030" w:hanging="420"/>
      </w:pPr>
    </w:lvl>
    <w:lvl w:ilvl="5">
      <w:start w:val="1"/>
      <w:numFmt w:val="lowerRoman"/>
      <w:isLgl w:val="false"/>
      <w:suff w:val="tab"/>
      <w:lvlText w:val="%6."/>
      <w:lvlJc w:val="right"/>
      <w:pPr>
        <w:ind w:left="3450" w:hanging="420"/>
      </w:pPr>
    </w:lvl>
    <w:lvl w:ilvl="6">
      <w:start w:val="1"/>
      <w:numFmt w:val="decimal"/>
      <w:isLgl w:val="false"/>
      <w:suff w:val="tab"/>
      <w:lvlText w:val="%7."/>
      <w:lvlJc w:val="left"/>
      <w:pPr>
        <w:ind w:left="3870" w:hanging="420"/>
      </w:pPr>
    </w:lvl>
    <w:lvl w:ilvl="7">
      <w:start w:val="1"/>
      <w:numFmt w:val="lowerLetter"/>
      <w:isLgl w:val="false"/>
      <w:suff w:val="tab"/>
      <w:lvlText w:val="%8)"/>
      <w:lvlJc w:val="left"/>
      <w:pPr>
        <w:ind w:left="4290" w:hanging="420"/>
      </w:pPr>
    </w:lvl>
    <w:lvl w:ilvl="8">
      <w:start w:val="1"/>
      <w:numFmt w:val="lowerRoman"/>
      <w:isLgl w:val="false"/>
      <w:suff w:val="tab"/>
      <w:lvlText w:val="%9."/>
      <w:lvlJc w:val="right"/>
      <w:pPr>
        <w:ind w:left="4710"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8"/>
    <w:lvlOverride w:ilvl="0">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45"/>
    <w:link w:val="936"/>
    <w:uiPriority w:val="9"/>
    <w:rPr>
      <w:rFonts w:ascii="Arial" w:hAnsi="Arial" w:eastAsia="Arial" w:cs="Arial"/>
      <w:sz w:val="40"/>
      <w:szCs w:val="40"/>
    </w:rPr>
  </w:style>
  <w:style w:type="character" w:styleId="784">
    <w:name w:val="Heading 2 Char"/>
    <w:basedOn w:val="945"/>
    <w:link w:val="937"/>
    <w:uiPriority w:val="9"/>
    <w:rPr>
      <w:rFonts w:ascii="Arial" w:hAnsi="Arial" w:eastAsia="Arial" w:cs="Arial"/>
      <w:sz w:val="34"/>
    </w:rPr>
  </w:style>
  <w:style w:type="character" w:styleId="785">
    <w:name w:val="Heading 3 Char"/>
    <w:basedOn w:val="945"/>
    <w:link w:val="938"/>
    <w:uiPriority w:val="9"/>
    <w:rPr>
      <w:rFonts w:ascii="Arial" w:hAnsi="Arial" w:eastAsia="Arial" w:cs="Arial"/>
      <w:sz w:val="30"/>
      <w:szCs w:val="30"/>
    </w:rPr>
  </w:style>
  <w:style w:type="character" w:styleId="786">
    <w:name w:val="Heading 4 Char"/>
    <w:basedOn w:val="945"/>
    <w:link w:val="939"/>
    <w:uiPriority w:val="9"/>
    <w:rPr>
      <w:rFonts w:ascii="Arial" w:hAnsi="Arial" w:eastAsia="Arial" w:cs="Arial"/>
      <w:b/>
      <w:bCs/>
      <w:sz w:val="26"/>
      <w:szCs w:val="26"/>
    </w:rPr>
  </w:style>
  <w:style w:type="character" w:styleId="787">
    <w:name w:val="Heading 5 Char"/>
    <w:basedOn w:val="945"/>
    <w:link w:val="940"/>
    <w:uiPriority w:val="9"/>
    <w:rPr>
      <w:rFonts w:ascii="Arial" w:hAnsi="Arial" w:eastAsia="Arial" w:cs="Arial"/>
      <w:b/>
      <w:bCs/>
      <w:sz w:val="24"/>
      <w:szCs w:val="24"/>
    </w:rPr>
  </w:style>
  <w:style w:type="character" w:styleId="788">
    <w:name w:val="Heading 6 Char"/>
    <w:basedOn w:val="945"/>
    <w:link w:val="941"/>
    <w:uiPriority w:val="9"/>
    <w:rPr>
      <w:rFonts w:ascii="Arial" w:hAnsi="Arial" w:eastAsia="Arial" w:cs="Arial"/>
      <w:b/>
      <w:bCs/>
      <w:sz w:val="22"/>
      <w:szCs w:val="22"/>
    </w:rPr>
  </w:style>
  <w:style w:type="character" w:styleId="789">
    <w:name w:val="Heading 7 Char"/>
    <w:basedOn w:val="945"/>
    <w:link w:val="942"/>
    <w:uiPriority w:val="9"/>
    <w:rPr>
      <w:rFonts w:ascii="Arial" w:hAnsi="Arial" w:eastAsia="Arial" w:cs="Arial"/>
      <w:b/>
      <w:bCs/>
      <w:i/>
      <w:iCs/>
      <w:sz w:val="22"/>
      <w:szCs w:val="22"/>
    </w:rPr>
  </w:style>
  <w:style w:type="character" w:styleId="790">
    <w:name w:val="Heading 8 Char"/>
    <w:basedOn w:val="945"/>
    <w:link w:val="943"/>
    <w:uiPriority w:val="9"/>
    <w:rPr>
      <w:rFonts w:ascii="Arial" w:hAnsi="Arial" w:eastAsia="Arial" w:cs="Arial"/>
      <w:i/>
      <w:iCs/>
      <w:sz w:val="22"/>
      <w:szCs w:val="22"/>
    </w:rPr>
  </w:style>
  <w:style w:type="character" w:styleId="791">
    <w:name w:val="Heading 9 Char"/>
    <w:basedOn w:val="945"/>
    <w:link w:val="944"/>
    <w:uiPriority w:val="9"/>
    <w:rPr>
      <w:rFonts w:ascii="Arial" w:hAnsi="Arial" w:eastAsia="Arial" w:cs="Arial"/>
      <w:i/>
      <w:iCs/>
      <w:sz w:val="21"/>
      <w:szCs w:val="21"/>
    </w:rPr>
  </w:style>
  <w:style w:type="paragraph" w:styleId="792">
    <w:name w:val="No Spacing"/>
    <w:uiPriority w:val="1"/>
    <w:qFormat/>
    <w:pPr>
      <w:spacing w:before="0" w:after="0" w:line="240" w:lineRule="auto"/>
    </w:pPr>
  </w:style>
  <w:style w:type="character" w:styleId="793">
    <w:name w:val="Title Char"/>
    <w:basedOn w:val="945"/>
    <w:link w:val="975"/>
    <w:uiPriority w:val="10"/>
    <w:rPr>
      <w:sz w:val="48"/>
      <w:szCs w:val="48"/>
    </w:rPr>
  </w:style>
  <w:style w:type="character" w:styleId="794">
    <w:name w:val="Subtitle Char"/>
    <w:basedOn w:val="945"/>
    <w:link w:val="967"/>
    <w:uiPriority w:val="11"/>
    <w:rPr>
      <w:sz w:val="24"/>
      <w:szCs w:val="24"/>
    </w:rPr>
  </w:style>
  <w:style w:type="paragraph" w:styleId="795">
    <w:name w:val="Quote"/>
    <w:basedOn w:val="935"/>
    <w:next w:val="935"/>
    <w:link w:val="796"/>
    <w:uiPriority w:val="29"/>
    <w:qFormat/>
    <w:pPr>
      <w:ind w:left="720" w:right="720"/>
    </w:pPr>
    <w:rPr>
      <w:i/>
    </w:rPr>
  </w:style>
  <w:style w:type="character" w:styleId="796">
    <w:name w:val="Quote Char"/>
    <w:link w:val="795"/>
    <w:uiPriority w:val="29"/>
    <w:rPr>
      <w:i/>
    </w:rPr>
  </w:style>
  <w:style w:type="paragraph" w:styleId="797">
    <w:name w:val="Intense Quote"/>
    <w:basedOn w:val="935"/>
    <w:next w:val="935"/>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45"/>
    <w:link w:val="964"/>
    <w:uiPriority w:val="99"/>
  </w:style>
  <w:style w:type="character" w:styleId="800">
    <w:name w:val="Footer Char"/>
    <w:basedOn w:val="945"/>
    <w:link w:val="963"/>
    <w:uiPriority w:val="99"/>
  </w:style>
  <w:style w:type="character" w:styleId="801">
    <w:name w:val="Caption Char"/>
    <w:basedOn w:val="949"/>
    <w:link w:val="963"/>
    <w:uiPriority w:val="99"/>
  </w:style>
  <w:style w:type="table" w:styleId="802">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8">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9">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0">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1">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2">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3">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0">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3">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4">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5">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6">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7">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8">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0">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1">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2">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3">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4">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5">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4">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5">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6">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7">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8">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9">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1">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2">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3">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4">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5">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6">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8">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2">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5">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9">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7">
    <w:name w:val="footnote text"/>
    <w:basedOn w:val="935"/>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basedOn w:val="945"/>
    <w:uiPriority w:val="99"/>
    <w:unhideWhenUsed/>
    <w:rPr>
      <w:vertAlign w:val="superscript"/>
    </w:rPr>
  </w:style>
  <w:style w:type="paragraph" w:styleId="930">
    <w:name w:val="endnote text"/>
    <w:basedOn w:val="935"/>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5"/>
    <w:uiPriority w:val="99"/>
    <w:semiHidden/>
    <w:unhideWhenUsed/>
    <w:rPr>
      <w:vertAlign w:val="superscript"/>
    </w:r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936">
    <w:name w:val="Heading 1"/>
    <w:basedOn w:val="935"/>
    <w:next w:val="935"/>
    <w:link w:val="991"/>
    <w:uiPriority w:val="0"/>
    <w:qFormat/>
    <w:pPr>
      <w:numPr>
        <w:ilvl w:val="0"/>
        <w:numId w:val="1"/>
      </w:numPr>
      <w:jc w:val="center"/>
      <w:keepLines/>
      <w:keepNext/>
      <w:spacing w:before="340" w:after="330" w:line="576" w:lineRule="auto"/>
      <w:outlineLvl w:val="0"/>
    </w:pPr>
    <w:rPr>
      <w:b/>
      <w:bCs/>
      <w:sz w:val="32"/>
      <w:szCs w:val="44"/>
    </w:rPr>
  </w:style>
  <w:style w:type="paragraph" w:styleId="937">
    <w:name w:val="Heading 2"/>
    <w:basedOn w:val="935"/>
    <w:next w:val="935"/>
    <w:link w:val="992"/>
    <w:uiPriority w:val="0"/>
    <w:unhideWhenUsed/>
    <w:qFormat/>
    <w:pPr>
      <w:numPr>
        <w:ilvl w:val="1"/>
        <w:numId w:val="1"/>
      </w:numPr>
      <w:keepLines/>
      <w:keepNext/>
      <w:spacing w:before="260" w:after="260" w:line="415" w:lineRule="auto"/>
      <w:outlineLvl w:val="1"/>
    </w:pPr>
    <w:rPr>
      <w:rFonts w:ascii="Cambria" w:hAnsi="Cambria"/>
      <w:b/>
      <w:bCs/>
      <w:sz w:val="32"/>
      <w:szCs w:val="32"/>
    </w:rPr>
  </w:style>
  <w:style w:type="paragraph" w:styleId="938">
    <w:name w:val="Heading 3"/>
    <w:basedOn w:val="935"/>
    <w:next w:val="935"/>
    <w:link w:val="993"/>
    <w:uiPriority w:val="0"/>
    <w:unhideWhenUsed/>
    <w:qFormat/>
    <w:pPr>
      <w:numPr>
        <w:ilvl w:val="2"/>
        <w:numId w:val="1"/>
      </w:numPr>
      <w:keepLines/>
      <w:keepNext/>
      <w:spacing w:before="260" w:after="260" w:line="415" w:lineRule="auto"/>
      <w:outlineLvl w:val="2"/>
    </w:pPr>
    <w:rPr>
      <w:b/>
      <w:bCs/>
      <w:sz w:val="32"/>
      <w:szCs w:val="32"/>
    </w:rPr>
  </w:style>
  <w:style w:type="paragraph" w:styleId="939">
    <w:name w:val="Heading 4"/>
    <w:basedOn w:val="935"/>
    <w:next w:val="935"/>
    <w:link w:val="994"/>
    <w:uiPriority w:val="0"/>
    <w:unhideWhenUsed/>
    <w:qFormat/>
    <w:pPr>
      <w:keepLines/>
      <w:keepNext/>
      <w:spacing w:before="280" w:after="290" w:line="374" w:lineRule="auto"/>
      <w:outlineLvl w:val="3"/>
    </w:pPr>
    <w:rPr>
      <w:rFonts w:asciiTheme="majorHAnsi" w:hAnsiTheme="majorHAnsi" w:eastAsiaTheme="majorEastAsia" w:cstheme="majorBidi"/>
      <w:b/>
      <w:bCs/>
      <w:sz w:val="28"/>
      <w:szCs w:val="28"/>
    </w:rPr>
  </w:style>
  <w:style w:type="paragraph" w:styleId="940">
    <w:name w:val="Heading 5"/>
    <w:basedOn w:val="935"/>
    <w:next w:val="935"/>
    <w:link w:val="995"/>
    <w:uiPriority w:val="0"/>
    <w:unhideWhenUsed/>
    <w:qFormat/>
    <w:pPr>
      <w:numPr>
        <w:ilvl w:val="4"/>
        <w:numId w:val="1"/>
      </w:numPr>
      <w:keepLines/>
      <w:keepNext/>
      <w:spacing w:before="280" w:after="290" w:line="374" w:lineRule="auto"/>
      <w:outlineLvl w:val="4"/>
    </w:pPr>
    <w:rPr>
      <w:b/>
      <w:bCs/>
      <w:sz w:val="28"/>
      <w:szCs w:val="28"/>
    </w:rPr>
  </w:style>
  <w:style w:type="paragraph" w:styleId="941">
    <w:name w:val="Heading 6"/>
    <w:basedOn w:val="935"/>
    <w:next w:val="935"/>
    <w:link w:val="996"/>
    <w:uiPriority w:val="0"/>
    <w:unhideWhenUsed/>
    <w:qFormat/>
    <w:pPr>
      <w:numPr>
        <w:ilvl w:val="5"/>
        <w:numId w:val="1"/>
      </w:numPr>
      <w:keepLines/>
      <w:keepNext/>
      <w:spacing w:before="240" w:after="64" w:line="319" w:lineRule="auto"/>
      <w:outlineLvl w:val="5"/>
    </w:pPr>
    <w:rPr>
      <w:rFonts w:ascii="Cambria" w:hAnsi="Cambria"/>
      <w:b/>
      <w:bCs/>
      <w:sz w:val="24"/>
    </w:rPr>
  </w:style>
  <w:style w:type="paragraph" w:styleId="942">
    <w:name w:val="Heading 7"/>
    <w:basedOn w:val="935"/>
    <w:next w:val="935"/>
    <w:link w:val="997"/>
    <w:uiPriority w:val="0"/>
    <w:unhideWhenUsed/>
    <w:qFormat/>
    <w:pPr>
      <w:numPr>
        <w:ilvl w:val="6"/>
        <w:numId w:val="1"/>
      </w:numPr>
      <w:keepLines/>
      <w:keepNext/>
      <w:spacing w:before="240" w:after="64" w:line="319" w:lineRule="auto"/>
      <w:outlineLvl w:val="6"/>
    </w:pPr>
    <w:rPr>
      <w:b/>
      <w:bCs/>
      <w:sz w:val="24"/>
    </w:rPr>
  </w:style>
  <w:style w:type="paragraph" w:styleId="943">
    <w:name w:val="Heading 8"/>
    <w:basedOn w:val="935"/>
    <w:next w:val="935"/>
    <w:link w:val="998"/>
    <w:uiPriority w:val="0"/>
    <w:unhideWhenUsed/>
    <w:qFormat/>
    <w:pPr>
      <w:numPr>
        <w:ilvl w:val="7"/>
        <w:numId w:val="1"/>
      </w:numPr>
      <w:keepLines/>
      <w:keepNext/>
      <w:spacing w:before="240" w:after="64" w:line="319" w:lineRule="auto"/>
      <w:outlineLvl w:val="7"/>
    </w:pPr>
    <w:rPr>
      <w:rFonts w:ascii="Cambria" w:hAnsi="Cambria"/>
      <w:sz w:val="24"/>
    </w:rPr>
  </w:style>
  <w:style w:type="paragraph" w:styleId="944">
    <w:name w:val="Heading 9"/>
    <w:basedOn w:val="935"/>
    <w:next w:val="935"/>
    <w:link w:val="999"/>
    <w:uiPriority w:val="0"/>
    <w:unhideWhenUsed/>
    <w:qFormat/>
    <w:pPr>
      <w:numPr>
        <w:ilvl w:val="8"/>
        <w:numId w:val="1"/>
      </w:numPr>
      <w:keepLines/>
      <w:keepNext/>
      <w:spacing w:before="240" w:after="64" w:line="319" w:lineRule="auto"/>
      <w:outlineLvl w:val="8"/>
    </w:pPr>
    <w:rPr>
      <w:rFonts w:ascii="Cambria" w:hAnsi="Cambria"/>
      <w:szCs w:val="21"/>
    </w:rPr>
  </w:style>
  <w:style w:type="character" w:styleId="945" w:default="1">
    <w:name w:val="Default Paragraph Font"/>
    <w:uiPriority w:val="1"/>
    <w:semiHidden/>
    <w:unhideWhenUsed/>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toc 7"/>
    <w:basedOn w:val="935"/>
    <w:next w:val="935"/>
    <w:uiPriority w:val="39"/>
    <w:unhideWhenUsed/>
    <w:qFormat/>
    <w:pPr>
      <w:ind w:left="2520"/>
    </w:pPr>
    <w:rPr>
      <w:rFonts w:ascii="Calibri" w:hAnsi="Calibri"/>
      <w:szCs w:val="22"/>
    </w:rPr>
  </w:style>
  <w:style w:type="paragraph" w:styleId="948">
    <w:name w:val="Normal Indent"/>
    <w:basedOn w:val="935"/>
    <w:uiPriority w:val="99"/>
    <w:unhideWhenUsed/>
    <w:qFormat/>
    <w:pPr>
      <w:ind w:firstLine="420"/>
    </w:pPr>
    <w:rPr>
      <w:b/>
      <w:sz w:val="24"/>
      <w:szCs w:val="20"/>
    </w:rPr>
  </w:style>
  <w:style w:type="paragraph" w:styleId="949">
    <w:name w:val="Caption"/>
    <w:basedOn w:val="935"/>
    <w:next w:val="935"/>
    <w:uiPriority w:val="0"/>
    <w:unhideWhenUsed/>
    <w:qFormat/>
    <w:rPr>
      <w:rFonts w:ascii="Cambria" w:hAnsi="Cambria" w:eastAsia="黑体"/>
      <w:sz w:val="20"/>
      <w:szCs w:val="22"/>
    </w:rPr>
  </w:style>
  <w:style w:type="paragraph" w:styleId="950">
    <w:name w:val="Document Map"/>
    <w:basedOn w:val="935"/>
    <w:link w:val="1013"/>
    <w:uiPriority w:val="0"/>
    <w:unhideWhenUsed/>
    <w:qFormat/>
    <w:rPr>
      <w:rFonts w:ascii="宋体"/>
      <w:sz w:val="18"/>
      <w:szCs w:val="18"/>
    </w:rPr>
  </w:style>
  <w:style w:type="paragraph" w:styleId="951">
    <w:name w:val="annotation text"/>
    <w:basedOn w:val="935"/>
    <w:link w:val="1130"/>
    <w:uiPriority w:val="99"/>
    <w:unhideWhenUsed/>
    <w:qFormat/>
    <w:pPr>
      <w:jc w:val="left"/>
    </w:pPr>
  </w:style>
  <w:style w:type="paragraph" w:styleId="952">
    <w:name w:val="Body Text 3"/>
    <w:basedOn w:val="935"/>
    <w:link w:val="1010"/>
    <w:uiPriority w:val="0"/>
    <w:unhideWhenUsed/>
    <w:qFormat/>
    <w:rPr>
      <w:rFonts w:ascii="宋体"/>
      <w:sz w:val="24"/>
      <w:szCs w:val="20"/>
    </w:rPr>
  </w:style>
  <w:style w:type="paragraph" w:styleId="953">
    <w:name w:val="Body Text"/>
    <w:basedOn w:val="935"/>
    <w:next w:val="935"/>
    <w:link w:val="1005"/>
    <w:uiPriority w:val="0"/>
    <w:unhideWhenUsed/>
    <w:qFormat/>
    <w:pPr>
      <w:jc w:val="center"/>
    </w:pPr>
    <w:rPr>
      <w:rFonts w:eastAsia="幼圆"/>
      <w:b/>
      <w:bCs/>
      <w:sz w:val="44"/>
    </w:rPr>
  </w:style>
  <w:style w:type="paragraph" w:styleId="954">
    <w:name w:val="Body Text Indent"/>
    <w:basedOn w:val="935"/>
    <w:link w:val="1137"/>
    <w:uiPriority w:val="0"/>
    <w:unhideWhenUsed/>
    <w:qFormat/>
    <w:pPr>
      <w:ind w:left="420"/>
      <w:spacing w:after="120"/>
    </w:pPr>
  </w:style>
  <w:style w:type="paragraph" w:styleId="955">
    <w:name w:val="index 4"/>
    <w:basedOn w:val="935"/>
    <w:next w:val="935"/>
    <w:uiPriority w:val="0"/>
    <w:unhideWhenUsed/>
    <w:qFormat/>
    <w:pPr>
      <w:ind w:left="600"/>
    </w:pPr>
    <w:rPr>
      <w:rFonts w:ascii="Calibri" w:hAnsi="Calibri"/>
    </w:rPr>
  </w:style>
  <w:style w:type="paragraph" w:styleId="956">
    <w:name w:val="toc 5"/>
    <w:basedOn w:val="935"/>
    <w:next w:val="935"/>
    <w:uiPriority w:val="39"/>
    <w:unhideWhenUsed/>
    <w:qFormat/>
    <w:pPr>
      <w:ind w:left="1680"/>
    </w:pPr>
    <w:rPr>
      <w:rFonts w:ascii="Calibri" w:hAnsi="Calibri"/>
      <w:szCs w:val="22"/>
    </w:rPr>
  </w:style>
  <w:style w:type="paragraph" w:styleId="957">
    <w:name w:val="toc 3"/>
    <w:basedOn w:val="935"/>
    <w:next w:val="935"/>
    <w:uiPriority w:val="39"/>
    <w:unhideWhenUsed/>
    <w:qFormat/>
    <w:pPr>
      <w:ind w:left="840"/>
    </w:pPr>
    <w:rPr>
      <w:rFonts w:ascii="Calibri" w:hAnsi="Calibri"/>
      <w:szCs w:val="22"/>
    </w:rPr>
  </w:style>
  <w:style w:type="paragraph" w:styleId="958">
    <w:name w:val="Plain Text"/>
    <w:link w:val="1014"/>
    <w:uiPriority w:val="99"/>
    <w:unhideWhenUsed/>
    <w:qFormat/>
    <w:pPr>
      <w:spacing w:after="160" w:line="259" w:lineRule="auto"/>
    </w:pPr>
    <w:rPr>
      <w:rFonts w:ascii="Ari" w:hAnsi="Times New Roman" w:eastAsia="宋体" w:cs="Times New Roman"/>
      <w:lang w:val="en-US" w:eastAsia="zh-CN" w:bidi="ar-SA"/>
    </w:rPr>
  </w:style>
  <w:style w:type="paragraph" w:styleId="959">
    <w:name w:val="toc 8"/>
    <w:basedOn w:val="935"/>
    <w:next w:val="935"/>
    <w:uiPriority w:val="39"/>
    <w:unhideWhenUsed/>
    <w:qFormat/>
    <w:pPr>
      <w:ind w:left="2940"/>
    </w:pPr>
    <w:rPr>
      <w:rFonts w:ascii="Calibri" w:hAnsi="Calibri"/>
      <w:szCs w:val="22"/>
    </w:rPr>
  </w:style>
  <w:style w:type="paragraph" w:styleId="960">
    <w:name w:val="Date"/>
    <w:basedOn w:val="935"/>
    <w:next w:val="935"/>
    <w:link w:val="1008"/>
    <w:uiPriority w:val="0"/>
    <w:unhideWhenUsed/>
    <w:qFormat/>
  </w:style>
  <w:style w:type="paragraph" w:styleId="961">
    <w:name w:val="Body Text Indent 2"/>
    <w:basedOn w:val="935"/>
    <w:link w:val="1011"/>
    <w:uiPriority w:val="99"/>
    <w:unhideWhenUsed/>
    <w:qFormat/>
    <w:pPr>
      <w:ind w:firstLine="525"/>
      <w:spacing w:line="420" w:lineRule="exact"/>
    </w:pPr>
    <w:rPr>
      <w:rFonts w:ascii="宋体"/>
      <w:sz w:val="20"/>
      <w:szCs w:val="20"/>
    </w:rPr>
  </w:style>
  <w:style w:type="paragraph" w:styleId="962">
    <w:name w:val="Balloon Text"/>
    <w:basedOn w:val="935"/>
    <w:link w:val="1016"/>
    <w:uiPriority w:val="0"/>
    <w:unhideWhenUsed/>
    <w:qFormat/>
    <w:rPr>
      <w:sz w:val="18"/>
      <w:szCs w:val="18"/>
    </w:rPr>
  </w:style>
  <w:style w:type="paragraph" w:styleId="963">
    <w:name w:val="Footer"/>
    <w:basedOn w:val="935"/>
    <w:link w:val="990"/>
    <w:uiPriority w:val="99"/>
    <w:unhideWhenUsed/>
    <w:qFormat/>
    <w:pPr>
      <w:jc w:val="left"/>
      <w:tabs>
        <w:tab w:val="center" w:pos="4153" w:leader="none"/>
        <w:tab w:val="right" w:pos="8306" w:leader="none"/>
      </w:tabs>
    </w:pPr>
    <w:rPr>
      <w:sz w:val="18"/>
      <w:szCs w:val="18"/>
    </w:rPr>
  </w:style>
  <w:style w:type="paragraph" w:styleId="964">
    <w:name w:val="Header"/>
    <w:basedOn w:val="935"/>
    <w:link w:val="98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5">
    <w:name w:val="toc 1"/>
    <w:basedOn w:val="935"/>
    <w:next w:val="935"/>
    <w:uiPriority w:val="39"/>
    <w:unhideWhenUsed/>
    <w:qFormat/>
  </w:style>
  <w:style w:type="paragraph" w:styleId="966">
    <w:name w:val="toc 4"/>
    <w:basedOn w:val="935"/>
    <w:next w:val="935"/>
    <w:uiPriority w:val="39"/>
    <w:unhideWhenUsed/>
    <w:qFormat/>
    <w:pPr>
      <w:ind w:left="1260"/>
    </w:pPr>
    <w:rPr>
      <w:rFonts w:ascii="Calibri" w:hAnsi="Calibri"/>
      <w:szCs w:val="22"/>
    </w:rPr>
  </w:style>
  <w:style w:type="paragraph" w:styleId="967">
    <w:name w:val="Subtitle"/>
    <w:basedOn w:val="935"/>
    <w:next w:val="935"/>
    <w:link w:val="1007"/>
    <w:uiPriority w:val="0"/>
    <w:qFormat/>
    <w:pPr>
      <w:jc w:val="center"/>
      <w:spacing w:before="240" w:after="60" w:line="312" w:lineRule="auto"/>
      <w:outlineLvl w:val="1"/>
    </w:pPr>
    <w:rPr>
      <w:rFonts w:ascii="Cambria" w:hAnsi="Cambria"/>
      <w:b/>
      <w:bCs/>
      <w:sz w:val="32"/>
      <w:szCs w:val="32"/>
    </w:rPr>
  </w:style>
  <w:style w:type="paragraph" w:styleId="968">
    <w:name w:val="toc 6"/>
    <w:basedOn w:val="935"/>
    <w:next w:val="935"/>
    <w:uiPriority w:val="39"/>
    <w:unhideWhenUsed/>
    <w:qFormat/>
    <w:pPr>
      <w:ind w:left="2100"/>
    </w:pPr>
    <w:rPr>
      <w:rFonts w:ascii="Calibri" w:hAnsi="Calibri"/>
      <w:szCs w:val="22"/>
    </w:rPr>
  </w:style>
  <w:style w:type="paragraph" w:styleId="969">
    <w:name w:val="Body Text Indent 3"/>
    <w:basedOn w:val="935"/>
    <w:link w:val="1012"/>
    <w:uiPriority w:val="0"/>
    <w:unhideWhenUsed/>
    <w:qFormat/>
    <w:pPr>
      <w:ind w:left="420"/>
      <w:spacing w:after="120"/>
    </w:pPr>
    <w:rPr>
      <w:sz w:val="16"/>
      <w:szCs w:val="20"/>
    </w:rPr>
  </w:style>
  <w:style w:type="paragraph" w:styleId="970">
    <w:name w:val="toc 2"/>
    <w:basedOn w:val="935"/>
    <w:next w:val="935"/>
    <w:uiPriority w:val="39"/>
    <w:unhideWhenUsed/>
    <w:qFormat/>
    <w:pPr>
      <w:ind w:left="420"/>
    </w:pPr>
    <w:rPr>
      <w:rFonts w:ascii="Calibri" w:hAnsi="Calibri"/>
      <w:szCs w:val="22"/>
    </w:rPr>
  </w:style>
  <w:style w:type="paragraph" w:styleId="971">
    <w:name w:val="toc 9"/>
    <w:basedOn w:val="935"/>
    <w:next w:val="935"/>
    <w:uiPriority w:val="0"/>
    <w:unhideWhenUsed/>
    <w:qFormat/>
    <w:pPr>
      <w:ind w:left="3360"/>
    </w:pPr>
    <w:rPr>
      <w:rFonts w:ascii="Calibri" w:hAnsi="Calibri"/>
      <w:szCs w:val="22"/>
    </w:rPr>
  </w:style>
  <w:style w:type="paragraph" w:styleId="972">
    <w:name w:val="HTML Preformatted"/>
    <w:basedOn w:val="935"/>
    <w:link w:val="1000"/>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3">
    <w:name w:val="Normal (Web)"/>
    <w:basedOn w:val="935"/>
    <w:link w:val="1001"/>
    <w:uiPriority w:val="0"/>
    <w:unhideWhenUsed/>
    <w:qFormat/>
    <w:pPr>
      <w:jc w:val="left"/>
      <w:spacing w:before="100" w:beforeAutospacing="1" w:after="100" w:afterAutospacing="1"/>
      <w:widowControl/>
    </w:pPr>
    <w:rPr>
      <w:rFonts w:ascii="宋体" w:hAnsi="宋体" w:cs="宋体"/>
      <w:sz w:val="24"/>
    </w:rPr>
  </w:style>
  <w:style w:type="paragraph" w:styleId="974">
    <w:name w:val="index 1"/>
    <w:basedOn w:val="935"/>
    <w:next w:val="935"/>
    <w:uiPriority w:val="0"/>
    <w:unhideWhenUsed/>
    <w:qFormat/>
    <w:pPr>
      <w:jc w:val="center"/>
      <w:spacing w:line="220" w:lineRule="exact"/>
    </w:pPr>
    <w:rPr>
      <w:rFonts w:ascii="仿宋_GB2312" w:hAnsi="Calibri" w:eastAsia="仿宋_GB2312"/>
      <w:szCs w:val="22"/>
    </w:rPr>
  </w:style>
  <w:style w:type="paragraph" w:styleId="975">
    <w:name w:val="Title"/>
    <w:basedOn w:val="935"/>
    <w:link w:val="1004"/>
    <w:uiPriority w:val="10"/>
    <w:qFormat/>
    <w:pPr>
      <w:jc w:val="center"/>
      <w:spacing w:before="240" w:after="60" w:line="420" w:lineRule="atLeast"/>
      <w:outlineLvl w:val="0"/>
    </w:pPr>
    <w:rPr>
      <w:rFonts w:ascii="Arial" w:hAnsi="Arial"/>
      <w:b/>
      <w:sz w:val="32"/>
      <w:szCs w:val="20"/>
    </w:rPr>
  </w:style>
  <w:style w:type="paragraph" w:styleId="976">
    <w:name w:val="annotation subject"/>
    <w:basedOn w:val="951"/>
    <w:next w:val="951"/>
    <w:link w:val="1015"/>
    <w:uiPriority w:val="0"/>
    <w:unhideWhenUsed/>
    <w:qFormat/>
    <w:rPr>
      <w:b/>
      <w:bCs/>
    </w:rPr>
  </w:style>
  <w:style w:type="paragraph" w:styleId="977">
    <w:name w:val="Body Text First Indent 2"/>
    <w:basedOn w:val="954"/>
    <w:link w:val="1009"/>
    <w:uiPriority w:val="0"/>
    <w:unhideWhenUsed/>
    <w:qFormat/>
    <w:pPr>
      <w:ind w:firstLine="200"/>
      <w:spacing w:line="360" w:lineRule="auto"/>
    </w:pPr>
    <w:rPr>
      <w:rFonts w:ascii="宋体"/>
      <w:szCs w:val="20"/>
    </w:rPr>
  </w:style>
  <w:style w:type="table" w:styleId="978">
    <w:name w:val="Table Grid"/>
    <w:basedOn w:val="946"/>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name w:val="Strong"/>
    <w:uiPriority w:val="22"/>
    <w:qFormat/>
    <w:rPr>
      <w:rFonts w:hint="default" w:ascii="Times New Roman" w:hAnsi="Times New Roman" w:cs="Times New Roman"/>
      <w:b/>
    </w:rPr>
  </w:style>
  <w:style w:type="character" w:styleId="980">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81">
    <w:name w:val="FollowedHyperlink"/>
    <w:uiPriority w:val="0"/>
    <w:unhideWhenUsed/>
    <w:qFormat/>
    <w:rPr>
      <w:color w:val="800080"/>
      <w:u w:val="single"/>
    </w:rPr>
  </w:style>
  <w:style w:type="character" w:styleId="982">
    <w:name w:val="Emphasis"/>
    <w:uiPriority w:val="0"/>
    <w:qFormat/>
    <w:rPr>
      <w:color w:val="cc0000"/>
    </w:rPr>
  </w:style>
  <w:style w:type="character" w:styleId="983">
    <w:name w:val="Hyperlink"/>
    <w:uiPriority w:val="99"/>
    <w:unhideWhenUsed/>
    <w:qFormat/>
    <w:rPr>
      <w:color w:val="0000ff"/>
      <w:u w:val="single"/>
    </w:rPr>
  </w:style>
  <w:style w:type="character" w:styleId="984">
    <w:name w:val="annotation reference"/>
    <w:uiPriority w:val="99"/>
    <w:unhideWhenUsed/>
    <w:qFormat/>
    <w:rPr>
      <w:sz w:val="21"/>
      <w:szCs w:val="21"/>
    </w:rPr>
  </w:style>
  <w:style w:type="character" w:styleId="985">
    <w:name w:val="HTML Cite"/>
    <w:uiPriority w:val="0"/>
    <w:unhideWhenUsed/>
    <w:qFormat/>
    <w:rPr>
      <w:color w:val="008000"/>
    </w:rPr>
  </w:style>
  <w:style w:type="paragraph" w:styleId="986" w:customStyle="1">
    <w:name w:val="正文文本1"/>
    <w:basedOn w:val="935"/>
    <w:next w:val="987"/>
    <w:uiPriority w:val="99"/>
    <w:qFormat/>
    <w:rPr>
      <w:rFonts w:ascii="华文中宋" w:eastAsia="华文中宋"/>
      <w:bCs/>
      <w:sz w:val="28"/>
    </w:rPr>
  </w:style>
  <w:style w:type="paragraph" w:styleId="987" w:customStyle="1">
    <w:name w:val="正文首行缩进1"/>
    <w:basedOn w:val="986"/>
    <w:next w:val="935"/>
    <w:uiPriority w:val="0"/>
    <w:qFormat/>
    <w:pPr>
      <w:ind w:firstLine="420"/>
      <w:spacing w:after="120"/>
    </w:pPr>
    <w:rPr>
      <w:rFonts w:ascii="Times New Roman" w:eastAsia="宋体"/>
      <w:b/>
      <w:bCs w:val="0"/>
      <w:sz w:val="21"/>
    </w:rPr>
  </w:style>
  <w:style w:type="paragraph" w:styleId="988" w:customStyle="1">
    <w:name w:val="列表段落1"/>
    <w:basedOn w:val="935"/>
    <w:link w:val="1019"/>
    <w:uiPriority w:val="34"/>
    <w:qFormat/>
    <w:pPr>
      <w:ind w:firstLine="420"/>
    </w:pPr>
    <w:rPr>
      <w:rFonts w:asciiTheme="minorHAnsi" w:hAnsiTheme="minorHAnsi" w:eastAsiaTheme="minorEastAsia" w:cstheme="minorBidi"/>
    </w:rPr>
  </w:style>
  <w:style w:type="character" w:styleId="989" w:customStyle="1">
    <w:name w:val="页眉 Char"/>
    <w:basedOn w:val="945"/>
    <w:link w:val="964"/>
    <w:uiPriority w:val="0"/>
    <w:qFormat/>
    <w:rPr>
      <w:sz w:val="18"/>
      <w:szCs w:val="18"/>
    </w:rPr>
  </w:style>
  <w:style w:type="character" w:styleId="990" w:customStyle="1">
    <w:name w:val="页脚 Char"/>
    <w:basedOn w:val="945"/>
    <w:link w:val="963"/>
    <w:uiPriority w:val="99"/>
    <w:qFormat/>
    <w:rPr>
      <w:sz w:val="18"/>
      <w:szCs w:val="18"/>
    </w:rPr>
  </w:style>
  <w:style w:type="character" w:styleId="991" w:customStyle="1">
    <w:name w:val="标题 1 Char1"/>
    <w:basedOn w:val="945"/>
    <w:link w:val="936"/>
    <w:uiPriority w:val="0"/>
    <w:qFormat/>
    <w:rPr>
      <w:rFonts w:ascii="Times New Roman" w:hAnsi="Times New Roman" w:eastAsia="宋体" w:cs="Times New Roman"/>
      <w:b/>
      <w:bCs/>
      <w:sz w:val="32"/>
      <w:szCs w:val="44"/>
    </w:rPr>
  </w:style>
  <w:style w:type="character" w:styleId="992" w:customStyle="1">
    <w:name w:val="标题 2 Char"/>
    <w:basedOn w:val="945"/>
    <w:link w:val="937"/>
    <w:uiPriority w:val="0"/>
    <w:semiHidden/>
    <w:qFormat/>
    <w:rPr>
      <w:rFonts w:ascii="Cambria" w:hAnsi="Cambria" w:eastAsia="宋体" w:cs="Times New Roman"/>
      <w:b/>
      <w:bCs/>
      <w:sz w:val="32"/>
      <w:szCs w:val="32"/>
    </w:rPr>
  </w:style>
  <w:style w:type="character" w:styleId="993" w:customStyle="1">
    <w:name w:val="标题 3 Char"/>
    <w:basedOn w:val="945"/>
    <w:link w:val="938"/>
    <w:uiPriority w:val="0"/>
    <w:semiHidden/>
    <w:qFormat/>
    <w:rPr>
      <w:rFonts w:ascii="Times New Roman" w:hAnsi="Times New Roman" w:eastAsia="宋体" w:cs="Times New Roman"/>
      <w:b/>
      <w:bCs/>
      <w:sz w:val="32"/>
      <w:szCs w:val="32"/>
    </w:rPr>
  </w:style>
  <w:style w:type="character" w:styleId="994" w:customStyle="1">
    <w:name w:val="标题 4 Char"/>
    <w:basedOn w:val="945"/>
    <w:link w:val="939"/>
    <w:uiPriority w:val="0"/>
    <w:qFormat/>
    <w:rPr>
      <w:rFonts w:asciiTheme="majorHAnsi" w:hAnsiTheme="majorHAnsi" w:eastAsiaTheme="majorEastAsia" w:cstheme="majorBidi"/>
      <w:b/>
      <w:bCs/>
      <w:sz w:val="28"/>
      <w:szCs w:val="28"/>
    </w:rPr>
  </w:style>
  <w:style w:type="character" w:styleId="995" w:customStyle="1">
    <w:name w:val="标题 5 Char"/>
    <w:basedOn w:val="945"/>
    <w:link w:val="940"/>
    <w:uiPriority w:val="0"/>
    <w:semiHidden/>
    <w:qFormat/>
    <w:rPr>
      <w:rFonts w:ascii="Times New Roman" w:hAnsi="Times New Roman" w:eastAsia="宋体" w:cs="Times New Roman"/>
      <w:b/>
      <w:bCs/>
      <w:sz w:val="28"/>
      <w:szCs w:val="28"/>
    </w:rPr>
  </w:style>
  <w:style w:type="character" w:styleId="996" w:customStyle="1">
    <w:name w:val="标题 6 Char"/>
    <w:basedOn w:val="945"/>
    <w:link w:val="941"/>
    <w:uiPriority w:val="0"/>
    <w:semiHidden/>
    <w:qFormat/>
    <w:rPr>
      <w:rFonts w:ascii="Cambria" w:hAnsi="Cambria" w:eastAsia="宋体" w:cs="Times New Roman"/>
      <w:b/>
      <w:bCs/>
      <w:sz w:val="24"/>
      <w:szCs w:val="24"/>
    </w:rPr>
  </w:style>
  <w:style w:type="character" w:styleId="997" w:customStyle="1">
    <w:name w:val="标题 7 Char"/>
    <w:basedOn w:val="945"/>
    <w:link w:val="942"/>
    <w:uiPriority w:val="0"/>
    <w:semiHidden/>
    <w:qFormat/>
    <w:rPr>
      <w:rFonts w:ascii="Times New Roman" w:hAnsi="Times New Roman" w:eastAsia="宋体" w:cs="Times New Roman"/>
      <w:b/>
      <w:bCs/>
      <w:sz w:val="24"/>
      <w:szCs w:val="24"/>
    </w:rPr>
  </w:style>
  <w:style w:type="character" w:styleId="998" w:customStyle="1">
    <w:name w:val="标题 8 Char"/>
    <w:basedOn w:val="945"/>
    <w:link w:val="943"/>
    <w:uiPriority w:val="0"/>
    <w:semiHidden/>
    <w:qFormat/>
    <w:rPr>
      <w:rFonts w:ascii="Cambria" w:hAnsi="Cambria" w:eastAsia="宋体" w:cs="Times New Roman"/>
      <w:sz w:val="24"/>
      <w:szCs w:val="24"/>
    </w:rPr>
  </w:style>
  <w:style w:type="character" w:styleId="999" w:customStyle="1">
    <w:name w:val="标题 9 Char"/>
    <w:basedOn w:val="945"/>
    <w:link w:val="944"/>
    <w:uiPriority w:val="0"/>
    <w:semiHidden/>
    <w:qFormat/>
    <w:rPr>
      <w:rFonts w:ascii="Cambria" w:hAnsi="Cambria" w:eastAsia="宋体" w:cs="Times New Roman"/>
      <w:szCs w:val="21"/>
    </w:rPr>
  </w:style>
  <w:style w:type="character" w:styleId="1000" w:customStyle="1">
    <w:name w:val="HTML 预设格式 Char"/>
    <w:basedOn w:val="945"/>
    <w:link w:val="972"/>
    <w:uiPriority w:val="0"/>
    <w:semiHidden/>
    <w:qFormat/>
    <w:rPr>
      <w:rFonts w:ascii="宋体" w:hAnsi="宋体" w:eastAsia="宋体" w:cs="Times New Roman"/>
      <w:sz w:val="24"/>
      <w:szCs w:val="24"/>
    </w:rPr>
  </w:style>
  <w:style w:type="character" w:styleId="1001" w:customStyle="1">
    <w:name w:val="普通(网站) Char"/>
    <w:link w:val="973"/>
    <w:uiPriority w:val="0"/>
    <w:qFormat/>
    <w:rPr>
      <w:rFonts w:ascii="宋体" w:hAnsi="宋体" w:eastAsia="宋体" w:cs="宋体"/>
      <w:sz w:val="24"/>
      <w:szCs w:val="24"/>
    </w:rPr>
  </w:style>
  <w:style w:type="paragraph" w:styleId="1002" w:customStyle="1">
    <w:name w:val="msonormal"/>
    <w:basedOn w:val="935"/>
    <w:uiPriority w:val="0"/>
    <w:qFormat/>
    <w:pPr>
      <w:jc w:val="left"/>
      <w:spacing w:before="100" w:beforeAutospacing="1" w:after="100" w:afterAutospacing="1"/>
      <w:widowControl/>
    </w:pPr>
    <w:rPr>
      <w:rFonts w:ascii="宋体" w:hAnsi="宋体" w:cs="宋体"/>
      <w:sz w:val="24"/>
    </w:rPr>
  </w:style>
  <w:style w:type="character" w:styleId="1003" w:customStyle="1">
    <w:name w:val="批注文字 字符"/>
    <w:basedOn w:val="945"/>
    <w:uiPriority w:val="99"/>
    <w:qFormat/>
    <w:rPr>
      <w:rFonts w:ascii="Times New Roman" w:hAnsi="Times New Roman" w:eastAsia="宋体" w:cs="Times New Roman"/>
      <w:szCs w:val="24"/>
    </w:rPr>
  </w:style>
  <w:style w:type="character" w:styleId="1004" w:customStyle="1">
    <w:name w:val="标题 Char"/>
    <w:basedOn w:val="945"/>
    <w:link w:val="975"/>
    <w:uiPriority w:val="0"/>
    <w:qFormat/>
    <w:rPr>
      <w:rFonts w:ascii="Arial" w:hAnsi="Arial" w:eastAsia="宋体" w:cs="Times New Roman"/>
      <w:b/>
      <w:sz w:val="32"/>
      <w:szCs w:val="20"/>
    </w:rPr>
  </w:style>
  <w:style w:type="character" w:styleId="1005" w:customStyle="1">
    <w:name w:val="正文文本 Char3"/>
    <w:basedOn w:val="945"/>
    <w:link w:val="953"/>
    <w:uiPriority w:val="0"/>
    <w:qFormat/>
    <w:rPr>
      <w:rFonts w:ascii="Times New Roman" w:hAnsi="Times New Roman" w:eastAsia="幼圆" w:cs="Times New Roman"/>
      <w:b/>
      <w:bCs/>
      <w:sz w:val="44"/>
      <w:szCs w:val="24"/>
    </w:rPr>
  </w:style>
  <w:style w:type="character" w:styleId="1006" w:customStyle="1">
    <w:name w:val="正文文本缩进 字符"/>
    <w:basedOn w:val="945"/>
    <w:uiPriority w:val="0"/>
    <w:semiHidden/>
    <w:qFormat/>
    <w:rPr>
      <w:rFonts w:ascii="Times New Roman" w:hAnsi="Times New Roman" w:eastAsia="宋体" w:cs="Times New Roman"/>
      <w:szCs w:val="24"/>
    </w:rPr>
  </w:style>
  <w:style w:type="character" w:styleId="1007" w:customStyle="1">
    <w:name w:val="副标题 Char"/>
    <w:basedOn w:val="945"/>
    <w:link w:val="967"/>
    <w:uiPriority w:val="0"/>
    <w:qFormat/>
    <w:rPr>
      <w:rFonts w:ascii="Cambria" w:hAnsi="Cambria" w:eastAsia="宋体" w:cs="Times New Roman"/>
      <w:b/>
      <w:bCs/>
      <w:sz w:val="32"/>
      <w:szCs w:val="32"/>
    </w:rPr>
  </w:style>
  <w:style w:type="character" w:styleId="1008" w:customStyle="1">
    <w:name w:val="日期 Char"/>
    <w:basedOn w:val="945"/>
    <w:link w:val="960"/>
    <w:uiPriority w:val="0"/>
    <w:semiHidden/>
    <w:qFormat/>
    <w:rPr>
      <w:rFonts w:ascii="Times New Roman" w:hAnsi="Times New Roman" w:eastAsia="宋体" w:cs="Times New Roman"/>
      <w:szCs w:val="24"/>
    </w:rPr>
  </w:style>
  <w:style w:type="character" w:styleId="1009" w:customStyle="1">
    <w:name w:val="正文首行缩进 2 Char"/>
    <w:basedOn w:val="1006"/>
    <w:link w:val="977"/>
    <w:uiPriority w:val="0"/>
    <w:semiHidden/>
    <w:qFormat/>
    <w:rPr>
      <w:rFonts w:ascii="宋体" w:hAnsi="Times New Roman" w:eastAsia="宋体" w:cs="Times New Roman"/>
      <w:szCs w:val="20"/>
    </w:rPr>
  </w:style>
  <w:style w:type="character" w:styleId="1010" w:customStyle="1">
    <w:name w:val="正文文本 3 Char"/>
    <w:basedOn w:val="945"/>
    <w:link w:val="952"/>
    <w:uiPriority w:val="0"/>
    <w:semiHidden/>
    <w:qFormat/>
    <w:rPr>
      <w:rFonts w:ascii="宋体" w:hAnsi="Times New Roman" w:eastAsia="宋体" w:cs="Times New Roman"/>
      <w:sz w:val="24"/>
      <w:szCs w:val="20"/>
    </w:rPr>
  </w:style>
  <w:style w:type="character" w:styleId="1011" w:customStyle="1">
    <w:name w:val="正文文本缩进 2 Char"/>
    <w:basedOn w:val="945"/>
    <w:link w:val="961"/>
    <w:uiPriority w:val="99"/>
    <w:semiHidden/>
    <w:qFormat/>
    <w:rPr>
      <w:rFonts w:ascii="宋体" w:hAnsi="Times New Roman" w:eastAsia="宋体" w:cs="Times New Roman"/>
      <w:sz w:val="20"/>
      <w:szCs w:val="20"/>
    </w:rPr>
  </w:style>
  <w:style w:type="character" w:styleId="1012" w:customStyle="1">
    <w:name w:val="正文文本缩进 3 Char"/>
    <w:basedOn w:val="945"/>
    <w:link w:val="969"/>
    <w:uiPriority w:val="0"/>
    <w:semiHidden/>
    <w:qFormat/>
    <w:rPr>
      <w:rFonts w:ascii="Times New Roman" w:hAnsi="Times New Roman" w:eastAsia="宋体" w:cs="Times New Roman"/>
      <w:sz w:val="16"/>
      <w:szCs w:val="20"/>
    </w:rPr>
  </w:style>
  <w:style w:type="character" w:styleId="1013" w:customStyle="1">
    <w:name w:val="文档结构图 Char"/>
    <w:basedOn w:val="945"/>
    <w:link w:val="950"/>
    <w:uiPriority w:val="0"/>
    <w:semiHidden/>
    <w:qFormat/>
    <w:rPr>
      <w:rFonts w:ascii="宋体" w:hAnsi="Times New Roman" w:eastAsia="宋体" w:cs="Times New Roman"/>
      <w:sz w:val="18"/>
      <w:szCs w:val="18"/>
    </w:rPr>
  </w:style>
  <w:style w:type="character" w:styleId="1014" w:customStyle="1">
    <w:name w:val="纯文本 Char"/>
    <w:basedOn w:val="945"/>
    <w:link w:val="958"/>
    <w:uiPriority w:val="99"/>
    <w:semiHidden/>
    <w:qFormat/>
    <w:rPr>
      <w:rFonts w:ascii="Ari" w:hAnsi="Times New Roman" w:eastAsia="宋体" w:cs="Times New Roman"/>
      <w:sz w:val="20"/>
      <w:szCs w:val="20"/>
    </w:rPr>
  </w:style>
  <w:style w:type="character" w:styleId="1015" w:customStyle="1">
    <w:name w:val="批注主题 Char"/>
    <w:basedOn w:val="1003"/>
    <w:link w:val="976"/>
    <w:uiPriority w:val="0"/>
    <w:semiHidden/>
    <w:qFormat/>
    <w:rPr>
      <w:rFonts w:ascii="Times New Roman" w:hAnsi="Times New Roman" w:eastAsia="宋体" w:cs="Times New Roman"/>
      <w:b/>
      <w:bCs/>
      <w:szCs w:val="24"/>
    </w:rPr>
  </w:style>
  <w:style w:type="character" w:styleId="1016" w:customStyle="1">
    <w:name w:val="批注框文本 Char"/>
    <w:basedOn w:val="945"/>
    <w:link w:val="962"/>
    <w:uiPriority w:val="0"/>
    <w:semiHidden/>
    <w:qFormat/>
    <w:rPr>
      <w:rFonts w:ascii="Times New Roman" w:hAnsi="Times New Roman" w:eastAsia="宋体" w:cs="Times New Roman"/>
      <w:sz w:val="18"/>
      <w:szCs w:val="18"/>
    </w:rPr>
  </w:style>
  <w:style w:type="paragraph" w:styleId="1017" w:customStyle="1">
    <w:name w:val="无间隔1"/>
    <w:uiPriority w:val="1"/>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1018" w:customStyle="1">
    <w:name w:val="修订1"/>
    <w:uiPriority w:val="0"/>
    <w:semiHidden/>
    <w:qFormat/>
    <w:pPr>
      <w:spacing w:after="160" w:line="259" w:lineRule="auto"/>
    </w:pPr>
    <w:rPr>
      <w:rFonts w:ascii="Times New Roman" w:hAnsi="Times New Roman" w:eastAsia="宋体" w:cs="Times New Roman"/>
      <w:sz w:val="21"/>
      <w:szCs w:val="24"/>
      <w:lang w:val="en-US" w:eastAsia="zh-CN" w:bidi="ar-SA"/>
    </w:rPr>
  </w:style>
  <w:style w:type="character" w:styleId="1019" w:customStyle="1">
    <w:name w:val="列表段落 字符"/>
    <w:link w:val="988"/>
    <w:uiPriority w:val="34"/>
    <w:qFormat/>
    <w:rPr>
      <w:szCs w:val="24"/>
    </w:rPr>
  </w:style>
  <w:style w:type="paragraph" w:styleId="1020" w:customStyle="1">
    <w:name w:val="引用1"/>
    <w:basedOn w:val="935"/>
    <w:next w:val="935"/>
    <w:link w:val="1021"/>
    <w:uiPriority w:val="0"/>
    <w:qFormat/>
    <w:rPr>
      <w:i/>
      <w:iCs/>
      <w:color w:val="000000"/>
      <w:sz w:val="20"/>
      <w:szCs w:val="20"/>
    </w:rPr>
  </w:style>
  <w:style w:type="character" w:styleId="1021" w:customStyle="1">
    <w:name w:val="引用 字符"/>
    <w:basedOn w:val="945"/>
    <w:link w:val="1020"/>
    <w:uiPriority w:val="0"/>
    <w:qFormat/>
    <w:rPr>
      <w:rFonts w:ascii="Times New Roman" w:hAnsi="Times New Roman" w:eastAsia="宋体" w:cs="Times New Roman"/>
      <w:i/>
      <w:iCs/>
      <w:color w:val="000000"/>
      <w:sz w:val="20"/>
      <w:szCs w:val="20"/>
    </w:rPr>
  </w:style>
  <w:style w:type="paragraph" w:styleId="1022" w:customStyle="1">
    <w:name w:val="明显引用1"/>
    <w:basedOn w:val="935"/>
    <w:next w:val="935"/>
    <w:link w:val="1023"/>
    <w:uiPriority w:val="0"/>
    <w:qFormat/>
    <w:pPr>
      <w:ind w:left="936" w:right="936"/>
      <w:spacing w:before="200" w:after="280"/>
      <w:pBdr>
        <w:bottom w:val="single" w:color="4F81BD" w:sz="4" w:space="4"/>
      </w:pBdr>
    </w:pPr>
    <w:rPr>
      <w:b/>
      <w:bCs/>
      <w:i/>
      <w:iCs/>
      <w:color w:val="4f81bd"/>
      <w:sz w:val="20"/>
      <w:szCs w:val="20"/>
    </w:rPr>
  </w:style>
  <w:style w:type="character" w:styleId="1023" w:customStyle="1">
    <w:name w:val="明显引用 字符"/>
    <w:basedOn w:val="945"/>
    <w:link w:val="1022"/>
    <w:uiPriority w:val="0"/>
    <w:qFormat/>
    <w:rPr>
      <w:rFonts w:ascii="Times New Roman" w:hAnsi="Times New Roman" w:eastAsia="宋体" w:cs="Times New Roman"/>
      <w:b/>
      <w:bCs/>
      <w:i/>
      <w:iCs/>
      <w:color w:val="4f81bd"/>
      <w:sz w:val="20"/>
      <w:szCs w:val="20"/>
    </w:rPr>
  </w:style>
  <w:style w:type="paragraph" w:styleId="1024" w:customStyle="1">
    <w:name w:val="TOC 标题1"/>
    <w:basedOn w:val="936"/>
    <w:next w:val="935"/>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1025" w:customStyle="1">
    <w:name w:val="样式 标题 3 + (中文) 黑体 小四 非加粗 段前: 7.8 磅 段后: 0 磅 行距: 固定值 20 磅"/>
    <w:basedOn w:val="938"/>
    <w:next w:val="935"/>
    <w:uiPriority w:val="0"/>
    <w:qFormat/>
    <w:pPr>
      <w:spacing w:before="0" w:after="0" w:line="400" w:lineRule="exact"/>
    </w:pPr>
    <w:rPr>
      <w:rFonts w:eastAsia="黑体" w:cs="宋体"/>
      <w:b w:val="0"/>
      <w:bCs w:val="0"/>
      <w:sz w:val="24"/>
      <w:szCs w:val="20"/>
    </w:rPr>
  </w:style>
  <w:style w:type="character" w:styleId="1026" w:customStyle="1">
    <w:name w:val="列出段落 字符"/>
    <w:link w:val="1027"/>
    <w:uiPriority w:val="34"/>
    <w:qFormat/>
    <w:rPr>
      <w:szCs w:val="24"/>
    </w:rPr>
  </w:style>
  <w:style w:type="paragraph" w:styleId="1027" w:customStyle="1">
    <w:name w:val="_Style 98"/>
    <w:basedOn w:val="935"/>
    <w:next w:val="988"/>
    <w:link w:val="1026"/>
    <w:uiPriority w:val="34"/>
    <w:qFormat/>
    <w:pPr>
      <w:ind w:firstLine="420"/>
    </w:pPr>
    <w:rPr>
      <w:rFonts w:asciiTheme="minorHAnsi" w:hAnsiTheme="minorHAnsi" w:eastAsiaTheme="minorEastAsia" w:cstheme="minorBidi"/>
    </w:rPr>
  </w:style>
  <w:style w:type="paragraph" w:styleId="1028" w:customStyle="1">
    <w:name w:val="文章正文"/>
    <w:basedOn w:val="935"/>
    <w:uiPriority w:val="99"/>
    <w:qFormat/>
    <w:pPr>
      <w:ind w:firstLine="480"/>
      <w:spacing w:line="360" w:lineRule="auto"/>
    </w:pPr>
    <w:rPr>
      <w:rFonts w:ascii="仿宋_GB2312" w:hAnsi="宋体" w:eastAsia="仿宋_GB2312"/>
      <w:color w:val="ff0000"/>
      <w:sz w:val="24"/>
    </w:rPr>
  </w:style>
  <w:style w:type="paragraph" w:styleId="1029" w:customStyle="1">
    <w:name w:val="flNote"/>
    <w:basedOn w:val="935"/>
    <w:uiPriority w:val="0"/>
    <w:qFormat/>
    <w:pPr>
      <w:jc w:val="center"/>
      <w:spacing w:before="320" w:line="360" w:lineRule="atLeast"/>
    </w:pPr>
    <w:rPr>
      <w:rFonts w:ascii="Arial" w:hAnsi="Calibri" w:eastAsia="黑体"/>
      <w:sz w:val="30"/>
      <w:szCs w:val="22"/>
    </w:rPr>
  </w:style>
  <w:style w:type="paragraph" w:styleId="1030" w:customStyle="1">
    <w:name w:val="6'"/>
    <w:basedOn w:val="935"/>
    <w:uiPriority w:val="0"/>
    <w:qFormat/>
    <w:pPr>
      <w:jc w:val="center"/>
      <w:spacing w:line="320" w:lineRule="exact"/>
    </w:pPr>
    <w:rPr>
      <w:rFonts w:ascii="Calibri" w:hAnsi="Calibri"/>
      <w:spacing w:val="20"/>
      <w:szCs w:val="22"/>
    </w:rPr>
  </w:style>
  <w:style w:type="paragraph" w:styleId="1031" w:customStyle="1">
    <w:name w:val="正文1"/>
    <w:uiPriority w:val="0"/>
    <w:qFormat/>
    <w:pPr>
      <w:jc w:val="both"/>
      <w:spacing w:after="160" w:line="259" w:lineRule="auto"/>
      <w:widowControl w:val="off"/>
    </w:pPr>
    <w:rPr>
      <w:rFonts w:ascii="Times New Roman" w:hAnsi="Times New Roman" w:eastAsia="宋体" w:cs="Times New Roman"/>
      <w:lang w:val="en-US" w:eastAsia="zh-CN" w:bidi="ar-SA"/>
    </w:rPr>
  </w:style>
  <w:style w:type="paragraph" w:styleId="1032" w:customStyle="1">
    <w:name w:val="List Paragraph1"/>
    <w:basedOn w:val="935"/>
    <w:uiPriority w:val="34"/>
    <w:qFormat/>
    <w:pPr>
      <w:ind w:left="800"/>
      <w:spacing w:after="200" w:line="276" w:lineRule="auto"/>
    </w:pPr>
    <w:rPr>
      <w:rFonts w:ascii="Malgun Gothic" w:hAnsi="Malgun Gothic" w:eastAsia="Malgun Gothic"/>
      <w:szCs w:val="22"/>
    </w:rPr>
  </w:style>
  <w:style w:type="paragraph" w:styleId="1033" w:customStyle="1">
    <w:name w:val="_Style 2"/>
    <w:basedOn w:val="935"/>
    <w:uiPriority w:val="99"/>
    <w:qFormat/>
    <w:pPr>
      <w:ind w:firstLine="420"/>
      <w:spacing w:after="200" w:line="276" w:lineRule="auto"/>
    </w:pPr>
  </w:style>
  <w:style w:type="paragraph" w:styleId="1034" w:customStyle="1">
    <w:name w:val="Char Char Char Char Char Char Char"/>
    <w:basedOn w:val="935"/>
    <w:uiPriority w:val="0"/>
    <w:qFormat/>
    <w:pPr>
      <w:spacing w:line="360" w:lineRule="auto"/>
    </w:pPr>
    <w:rPr>
      <w:sz w:val="24"/>
      <w:szCs w:val="20"/>
    </w:rPr>
  </w:style>
  <w:style w:type="paragraph" w:styleId="1035" w:customStyle="1">
    <w:name w:val="_Style 36"/>
    <w:next w:val="935"/>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1036" w:customStyle="1">
    <w:name w:val="标题2"/>
    <w:basedOn w:val="937"/>
    <w:next w:val="953"/>
    <w:uiPriority w:val="0"/>
    <w:qFormat/>
    <w:pPr>
      <w:spacing w:before="156" w:after="156" w:line="360" w:lineRule="auto"/>
    </w:pPr>
    <w:rPr>
      <w:bCs w:val="0"/>
      <w:sz w:val="24"/>
    </w:rPr>
  </w:style>
  <w:style w:type="paragraph" w:styleId="1037" w:customStyle="1">
    <w:name w:val="表格"/>
    <w:basedOn w:val="935"/>
    <w:uiPriority w:val="0"/>
    <w:qFormat/>
    <w:pPr>
      <w:jc w:val="center"/>
    </w:pPr>
    <w:rPr>
      <w:rFonts w:ascii="华文细黑" w:hAnsi="华文细黑"/>
      <w:szCs w:val="22"/>
    </w:rPr>
  </w:style>
  <w:style w:type="paragraph" w:styleId="1038" w:customStyle="1">
    <w:name w:val="列出段落2"/>
    <w:basedOn w:val="935"/>
    <w:uiPriority w:val="99"/>
    <w:qFormat/>
    <w:pPr>
      <w:ind w:firstLine="420"/>
    </w:pPr>
  </w:style>
  <w:style w:type="paragraph" w:styleId="1039" w:customStyle="1">
    <w:name w:val="op_mapdots_left"/>
    <w:basedOn w:val="935"/>
    <w:uiPriority w:val="0"/>
    <w:qFormat/>
    <w:pPr>
      <w:jc w:val="left"/>
      <w:spacing w:before="100" w:beforeAutospacing="1" w:after="100" w:afterAutospacing="1"/>
      <w:widowControl/>
    </w:pPr>
    <w:rPr>
      <w:rFonts w:ascii="宋体" w:hAnsi="宋体" w:cs="宋体"/>
      <w:sz w:val="24"/>
    </w:rPr>
  </w:style>
  <w:style w:type="paragraph" w:styleId="1040" w:customStyle="1">
    <w:name w:val="正文_0_0_0"/>
    <w:uiPriority w:val="0"/>
    <w:qFormat/>
    <w:pPr>
      <w:jc w:val="both"/>
      <w:spacing w:after="160" w:line="259" w:lineRule="auto"/>
      <w:widowControl w:val="off"/>
    </w:pPr>
    <w:rPr>
      <w:rFonts w:ascii="Times New Roman" w:hAnsi="Times New Roman" w:eastAsia="宋体" w:cs="Times New Roman"/>
      <w:lang w:val="en-US" w:eastAsia="zh-CN" w:bidi="ar-SA"/>
    </w:rPr>
  </w:style>
  <w:style w:type="character" w:styleId="1041" w:customStyle="1">
    <w:name w:val="标题5 Char Char"/>
    <w:link w:val="1042"/>
    <w:uiPriority w:val="0"/>
    <w:qFormat/>
    <w:rPr>
      <w:rFonts w:ascii="Arial" w:hAnsi="Arial" w:cs="Arial"/>
      <w:b/>
      <w:bCs/>
      <w:sz w:val="24"/>
      <w:szCs w:val="32"/>
    </w:rPr>
  </w:style>
  <w:style w:type="paragraph" w:styleId="1042" w:customStyle="1">
    <w:name w:val="标题5"/>
    <w:basedOn w:val="938"/>
    <w:link w:val="1041"/>
    <w:uiPriority w:val="0"/>
    <w:qFormat/>
    <w:pPr>
      <w:numPr>
        <w:ilvl w:val="0"/>
        <w:numId w:val="0"/>
      </w:numPr>
      <w:spacing w:line="412" w:lineRule="auto"/>
    </w:pPr>
    <w:rPr>
      <w:rFonts w:ascii="Arial" w:hAnsi="Arial" w:cs="Arial" w:eastAsiaTheme="minorEastAsia"/>
      <w:sz w:val="24"/>
    </w:rPr>
  </w:style>
  <w:style w:type="paragraph" w:styleId="1043" w:customStyle="1">
    <w:name w:val="样式 标题 2 + Times New Roman 四号 非加粗 段前: 5 磅 段后: 0 磅 行距: 固定值 20..."/>
    <w:basedOn w:val="93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44" w:customStyle="1">
    <w:name w:val="Char"/>
    <w:basedOn w:val="935"/>
    <w:uiPriority w:val="0"/>
    <w:qFormat/>
    <w:pPr>
      <w:jc w:val="left"/>
      <w:spacing w:line="240" w:lineRule="exact"/>
      <w:widowControl/>
    </w:pPr>
    <w:rPr>
      <w:rFonts w:ascii="Verdana" w:hAnsi="Verdana"/>
      <w:sz w:val="20"/>
      <w:szCs w:val="20"/>
      <w:lang w:eastAsia="en-US"/>
    </w:rPr>
  </w:style>
  <w:style w:type="paragraph" w:styleId="1045" w:customStyle="1">
    <w:name w:val="表格文字"/>
    <w:basedOn w:val="935"/>
    <w:uiPriority w:val="0"/>
    <w:qFormat/>
    <w:pPr>
      <w:jc w:val="left"/>
      <w:spacing w:line="420" w:lineRule="atLeast"/>
    </w:pPr>
    <w:rPr>
      <w:rFonts w:ascii="Calibri" w:hAnsi="Calibri"/>
      <w:szCs w:val="22"/>
    </w:rPr>
  </w:style>
  <w:style w:type="paragraph" w:styleId="1046" w:customStyle="1">
    <w:name w:val="p0"/>
    <w:basedOn w:val="935"/>
    <w:uiPriority w:val="0"/>
    <w:qFormat/>
    <w:pPr>
      <w:widowControl/>
    </w:pPr>
    <w:rPr>
      <w:b/>
      <w:bCs/>
      <w:sz w:val="24"/>
    </w:rPr>
  </w:style>
  <w:style w:type="paragraph" w:styleId="1047" w:customStyle="1">
    <w:name w:val="正文_3"/>
    <w:uiPriority w:val="0"/>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1048" w:customStyle="1">
    <w:name w:val="标题 11"/>
    <w:basedOn w:val="1031"/>
    <w:next w:val="1031"/>
    <w:uiPriority w:val="0"/>
    <w:qFormat/>
    <w:pPr>
      <w:keepLines/>
      <w:keepNext/>
      <w:spacing w:before="340" w:after="330" w:line="576" w:lineRule="auto"/>
      <w:outlineLvl w:val="0"/>
    </w:pPr>
    <w:rPr>
      <w:rFonts w:eastAsia="Times New Roman"/>
      <w:b/>
      <w:sz w:val="44"/>
      <w:lang w:val="zh-CN"/>
    </w:rPr>
  </w:style>
  <w:style w:type="paragraph" w:styleId="1049" w:customStyle="1">
    <w:name w:val="1"/>
    <w:basedOn w:val="935"/>
    <w:next w:val="935"/>
    <w:uiPriority w:val="0"/>
    <w:qFormat/>
    <w:rPr>
      <w:rFonts w:ascii="Calibri" w:hAnsi="Calibri"/>
      <w:szCs w:val="22"/>
    </w:rPr>
  </w:style>
  <w:style w:type="paragraph" w:styleId="1050" w:customStyle="1">
    <w:name w:val="0- 正文"/>
    <w:basedOn w:val="935"/>
    <w:uiPriority w:val="0"/>
    <w:qFormat/>
    <w:pPr>
      <w:ind w:firstLine="482"/>
      <w:jc w:val="left"/>
      <w:spacing w:line="360" w:lineRule="auto"/>
      <w:widowControl/>
    </w:pPr>
    <w:rPr>
      <w:rFonts w:ascii="Calibri" w:hAnsi="Calibri"/>
      <w:sz w:val="24"/>
      <w:szCs w:val="20"/>
    </w:rPr>
  </w:style>
  <w:style w:type="paragraph" w:styleId="1051" w:customStyle="1">
    <w:name w:val="txt"/>
    <w:basedOn w:val="935"/>
    <w:uiPriority w:val="0"/>
    <w:qFormat/>
    <w:pPr>
      <w:jc w:val="left"/>
      <w:spacing w:before="100" w:beforeAutospacing="1" w:after="100" w:afterAutospacing="1"/>
      <w:widowControl/>
    </w:pPr>
    <w:rPr>
      <w:rFonts w:ascii="宋体" w:hAnsi="宋体" w:cs="宋体"/>
      <w:sz w:val="24"/>
    </w:rPr>
  </w:style>
  <w:style w:type="paragraph" w:styleId="1052" w:customStyle="1">
    <w:name w:val="格式３"/>
    <w:basedOn w:val="935"/>
    <w:uiPriority w:val="0"/>
    <w:qFormat/>
    <w:pPr>
      <w:ind w:left="600" w:hanging="600"/>
      <w:spacing w:line="420" w:lineRule="exact"/>
    </w:pPr>
    <w:rPr>
      <w:rFonts w:ascii="宋体" w:hAnsi="宋体"/>
      <w:color w:val="000000"/>
      <w:sz w:val="24"/>
      <w:szCs w:val="20"/>
    </w:rPr>
  </w:style>
  <w:style w:type="paragraph" w:styleId="1053" w:customStyle="1">
    <w:name w:val="正文 + 行距: 固定值 20 磅"/>
    <w:basedOn w:val="935"/>
    <w:uiPriority w:val="0"/>
    <w:qFormat/>
    <w:pPr>
      <w:ind w:firstLine="716"/>
      <w:spacing w:line="400" w:lineRule="exact"/>
    </w:pPr>
    <w:rPr>
      <w:rFonts w:ascii="Calibri" w:hAnsi="Calibri"/>
      <w:szCs w:val="22"/>
    </w:rPr>
  </w:style>
  <w:style w:type="paragraph" w:styleId="1054" w:customStyle="1">
    <w:name w:val="正文_0"/>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1055" w:customStyle="1">
    <w:name w:val="文档正文"/>
    <w:basedOn w:val="935"/>
    <w:uiPriority w:val="0"/>
    <w:qFormat/>
    <w:pPr>
      <w:ind w:firstLine="567"/>
      <w:spacing w:line="480" w:lineRule="atLeast"/>
    </w:pPr>
    <w:rPr>
      <w:rFonts w:ascii="Ari" w:eastAsia="Ari"/>
      <w:sz w:val="28"/>
      <w:szCs w:val="20"/>
    </w:rPr>
  </w:style>
  <w:style w:type="paragraph" w:styleId="1056" w:customStyle="1">
    <w:name w:val="目录 5_0"/>
    <w:basedOn w:val="1054"/>
    <w:next w:val="1054"/>
    <w:uiPriority w:val="39"/>
    <w:qFormat/>
    <w:pPr>
      <w:ind w:left="1680"/>
    </w:pPr>
    <w:rPr>
      <w:rFonts w:ascii="Calibri" w:hAnsi="Calibri"/>
    </w:rPr>
  </w:style>
  <w:style w:type="paragraph" w:styleId="1057" w:customStyle="1">
    <w:name w:val="1方案格式1"/>
    <w:basedOn w:val="936"/>
    <w:uiPriority w:val="0"/>
    <w:qFormat/>
    <w:pPr>
      <w:numPr>
        <w:numId w:val="2"/>
      </w:numPr>
      <w:ind w:firstLine="0"/>
      <w:spacing w:before="0" w:after="0" w:line="360" w:lineRule="auto"/>
      <w:tabs>
        <w:tab w:val="left" w:pos="360" w:leader="none"/>
      </w:tabs>
    </w:pPr>
    <w:rPr>
      <w:rFonts w:eastAsia="微软雅黑"/>
      <w:bCs w:val="0"/>
      <w:sz w:val="48"/>
    </w:rPr>
  </w:style>
  <w:style w:type="paragraph" w:styleId="1058" w:customStyle="1">
    <w:name w:val="List Paragraph2"/>
    <w:basedOn w:val="935"/>
    <w:uiPriority w:val="99"/>
    <w:qFormat/>
    <w:pPr>
      <w:contextualSpacing/>
      <w:ind w:left="720"/>
      <w:jc w:val="left"/>
      <w:widowControl/>
    </w:pPr>
    <w:rPr>
      <w:rFonts w:ascii="Arial" w:hAnsi="Arial" w:eastAsia="黑体"/>
      <w:sz w:val="24"/>
      <w:lang w:eastAsia="en-US"/>
    </w:rPr>
  </w:style>
  <w:style w:type="paragraph" w:styleId="1059" w:customStyle="1">
    <w:name w:val="2方案格式2"/>
    <w:basedOn w:val="1057"/>
    <w:uiPriority w:val="0"/>
    <w:qFormat/>
    <w:pPr>
      <w:numPr>
        <w:ilvl w:val="1"/>
      </w:numPr>
      <w:ind w:left="850"/>
      <w:spacing w:line="240" w:lineRule="auto"/>
      <w:outlineLvl w:val="1"/>
    </w:pPr>
    <w:rPr>
      <w:sz w:val="44"/>
    </w:rPr>
  </w:style>
  <w:style w:type="paragraph" w:styleId="1060" w:customStyle="1">
    <w:name w:val="Blockquote"/>
    <w:basedOn w:val="935"/>
    <w:uiPriority w:val="0"/>
    <w:qFormat/>
    <w:pPr>
      <w:ind w:left="360" w:right="360"/>
      <w:jc w:val="left"/>
      <w:spacing w:before="100" w:after="100"/>
    </w:pPr>
    <w:rPr>
      <w:rFonts w:ascii="Calibri" w:hAnsi="Calibri"/>
      <w:sz w:val="24"/>
      <w:szCs w:val="22"/>
    </w:rPr>
  </w:style>
  <w:style w:type="paragraph" w:styleId="1061" w:customStyle="1">
    <w:name w:val="_Style 34"/>
    <w:next w:val="935"/>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1062" w:customStyle="1">
    <w:name w:val="样式 标题 2 + Times New Roman 四号 非加粗 段前: 5 磅 段后: 0 磅 行距: 固定值 20..._0"/>
    <w:basedOn w:val="935"/>
    <w:uiPriority w:val="0"/>
    <w:qFormat/>
    <w:pPr>
      <w:keepLines/>
      <w:keepNext/>
      <w:spacing w:before="100" w:line="360" w:lineRule="auto"/>
      <w:outlineLvl w:val="1"/>
    </w:pPr>
    <w:rPr>
      <w:rFonts w:eastAsia="Times New Roman" w:cs="宋体"/>
      <w:sz w:val="28"/>
      <w:szCs w:val="20"/>
    </w:rPr>
  </w:style>
  <w:style w:type="character" w:styleId="1063" w:customStyle="1">
    <w:name w:val="标题4 Char Char"/>
    <w:link w:val="1064"/>
    <w:uiPriority w:val="0"/>
    <w:qFormat/>
    <w:rPr>
      <w:rFonts w:ascii="Arial" w:hAnsi="Arial" w:cs="Arial"/>
      <w:b/>
      <w:bCs/>
      <w:sz w:val="24"/>
      <w:szCs w:val="32"/>
    </w:rPr>
  </w:style>
  <w:style w:type="paragraph" w:styleId="1064" w:customStyle="1">
    <w:name w:val="标题4"/>
    <w:basedOn w:val="937"/>
    <w:next w:val="955"/>
    <w:link w:val="1063"/>
    <w:uiPriority w:val="0"/>
    <w:qFormat/>
    <w:pPr>
      <w:numPr>
        <w:ilvl w:val="0"/>
        <w:numId w:val="0"/>
      </w:numPr>
      <w:spacing w:line="412" w:lineRule="auto"/>
    </w:pPr>
    <w:rPr>
      <w:rFonts w:ascii="Arial" w:hAnsi="Arial" w:cs="Arial" w:eastAsiaTheme="minorEastAsia"/>
      <w:sz w:val="24"/>
    </w:rPr>
  </w:style>
  <w:style w:type="character" w:styleId="1065" w:customStyle="1">
    <w:name w:val="标题 1 Char_0"/>
    <w:link w:val="1066"/>
    <w:uiPriority w:val="0"/>
    <w:qFormat/>
    <w:rPr>
      <w:b/>
      <w:bCs/>
      <w:sz w:val="44"/>
      <w:szCs w:val="44"/>
    </w:rPr>
  </w:style>
  <w:style w:type="paragraph" w:styleId="1066" w:customStyle="1">
    <w:name w:val="标题 1_0"/>
    <w:basedOn w:val="1054"/>
    <w:next w:val="1054"/>
    <w:link w:val="1065"/>
    <w:uiPriority w:val="0"/>
    <w:qFormat/>
    <w:pPr>
      <w:keepLines/>
      <w:keepNext/>
      <w:spacing w:before="340" w:after="330" w:line="576" w:lineRule="auto"/>
      <w:outlineLvl w:val="0"/>
    </w:pPr>
    <w:rPr>
      <w:rFonts w:asciiTheme="minorHAnsi" w:hAnsiTheme="minorHAnsi" w:eastAsiaTheme="minorEastAsia" w:cstheme="minorBidi"/>
      <w:b/>
      <w:bCs/>
      <w:sz w:val="44"/>
      <w:szCs w:val="44"/>
    </w:rPr>
  </w:style>
  <w:style w:type="paragraph" w:styleId="1067" w:customStyle="1">
    <w:name w:val="样式 标题 1 + 黑体 三号 非加粗 居中 段前: 6 磅 段后: 6 磅 行距: 固定值 20 磅"/>
    <w:basedOn w:val="936"/>
    <w:uiPriority w:val="0"/>
    <w:qFormat/>
    <w:pPr>
      <w:numPr>
        <w:numId w:val="0"/>
      </w:numPr>
      <w:spacing w:before="120" w:after="120" w:line="400" w:lineRule="exact"/>
    </w:pPr>
    <w:rPr>
      <w:rFonts w:ascii="黑体" w:hAnsi="黑体" w:eastAsia="黑体"/>
      <w:b w:val="0"/>
      <w:bCs w:val="0"/>
      <w:szCs w:val="20"/>
    </w:rPr>
  </w:style>
  <w:style w:type="paragraph" w:styleId="1068" w:customStyle="1">
    <w:name w:val="空半行"/>
    <w:basedOn w:val="935"/>
    <w:uiPriority w:val="0"/>
    <w:qFormat/>
    <w:pPr>
      <w:spacing w:line="120" w:lineRule="exact"/>
    </w:pPr>
    <w:rPr>
      <w:rFonts w:ascii="Calibri" w:hAnsi="Calibri" w:eastAsia="仿宋_GB2312"/>
      <w:color w:val="ffffff"/>
      <w:sz w:val="30"/>
      <w:szCs w:val="22"/>
    </w:rPr>
  </w:style>
  <w:style w:type="paragraph" w:styleId="1069" w:customStyle="1">
    <w:name w:val="正文空2字"/>
    <w:basedOn w:val="935"/>
    <w:uiPriority w:val="0"/>
    <w:qFormat/>
    <w:pPr>
      <w:ind w:firstLine="200"/>
      <w:spacing w:line="360" w:lineRule="auto"/>
    </w:pPr>
    <w:rPr>
      <w:sz w:val="24"/>
      <w:lang w:bidi="en-US"/>
    </w:rPr>
  </w:style>
  <w:style w:type="character" w:styleId="1070" w:customStyle="1">
    <w:name w:val="标题 3 Char_0"/>
    <w:link w:val="1071"/>
    <w:uiPriority w:val="0"/>
    <w:qFormat/>
    <w:rPr>
      <w:b/>
      <w:bCs/>
      <w:sz w:val="32"/>
      <w:szCs w:val="32"/>
    </w:rPr>
  </w:style>
  <w:style w:type="paragraph" w:styleId="1071" w:customStyle="1">
    <w:name w:val="标题 3_0"/>
    <w:basedOn w:val="1054"/>
    <w:next w:val="1054"/>
    <w:link w:val="1070"/>
    <w:uiPriority w:val="0"/>
    <w:qFormat/>
    <w:pPr>
      <w:keepLines/>
      <w:keepNext/>
      <w:spacing w:before="260" w:after="260" w:line="415" w:lineRule="auto"/>
      <w:outlineLvl w:val="2"/>
    </w:pPr>
    <w:rPr>
      <w:rFonts w:asciiTheme="minorHAnsi" w:hAnsiTheme="minorHAnsi" w:eastAsiaTheme="minorEastAsia" w:cstheme="minorBidi"/>
      <w:b/>
      <w:bCs/>
      <w:sz w:val="32"/>
      <w:szCs w:val="32"/>
    </w:rPr>
  </w:style>
  <w:style w:type="character" w:styleId="1072" w:customStyle="1">
    <w:name w:val="标题 2 Char_0"/>
    <w:link w:val="1073"/>
    <w:uiPriority w:val="0"/>
    <w:qFormat/>
    <w:rPr>
      <w:rFonts w:ascii="Cambria" w:hAnsi="Cambria"/>
      <w:b/>
      <w:bCs/>
      <w:sz w:val="32"/>
      <w:szCs w:val="32"/>
    </w:rPr>
  </w:style>
  <w:style w:type="paragraph" w:styleId="1073" w:customStyle="1">
    <w:name w:val="标题 2_0"/>
    <w:basedOn w:val="1054"/>
    <w:next w:val="1054"/>
    <w:link w:val="1072"/>
    <w:uiPriority w:val="0"/>
    <w:qFormat/>
    <w:pPr>
      <w:keepLines/>
      <w:keepNext/>
      <w:spacing w:before="260" w:after="260" w:line="415" w:lineRule="auto"/>
      <w:outlineLvl w:val="1"/>
    </w:pPr>
    <w:rPr>
      <w:rFonts w:ascii="Cambria" w:hAnsi="Cambria" w:eastAsiaTheme="minorEastAsia" w:cstheme="minorBidi"/>
      <w:b/>
      <w:bCs/>
      <w:sz w:val="32"/>
      <w:szCs w:val="32"/>
    </w:rPr>
  </w:style>
  <w:style w:type="character" w:styleId="1074" w:customStyle="1">
    <w:name w:val="正文文本 Char_0"/>
    <w:link w:val="1075"/>
    <w:uiPriority w:val="0"/>
    <w:qFormat/>
    <w:rPr>
      <w:szCs w:val="24"/>
    </w:rPr>
  </w:style>
  <w:style w:type="paragraph" w:styleId="1075" w:customStyle="1">
    <w:name w:val="正文文本_0"/>
    <w:basedOn w:val="1054"/>
    <w:link w:val="1074"/>
    <w:uiPriority w:val="0"/>
    <w:qFormat/>
    <w:pPr>
      <w:spacing w:after="120"/>
    </w:pPr>
    <w:rPr>
      <w:rFonts w:asciiTheme="minorHAnsi" w:hAnsiTheme="minorHAnsi" w:eastAsiaTheme="minorEastAsia" w:cstheme="minorBidi"/>
    </w:rPr>
  </w:style>
  <w:style w:type="paragraph" w:styleId="1076" w:customStyle="1">
    <w:name w:val="目录 3_0"/>
    <w:basedOn w:val="1054"/>
    <w:next w:val="1054"/>
    <w:uiPriority w:val="39"/>
    <w:qFormat/>
    <w:pPr>
      <w:ind w:left="840"/>
    </w:pPr>
    <w:rPr>
      <w:rFonts w:ascii="Calibri" w:hAnsi="Calibri"/>
    </w:rPr>
  </w:style>
  <w:style w:type="paragraph" w:styleId="1077" w:customStyle="1">
    <w:name w:val="列出段落1"/>
    <w:basedOn w:val="935"/>
    <w:uiPriority w:val="0"/>
    <w:qFormat/>
    <w:pPr>
      <w:contextualSpacing/>
      <w:ind w:left="720"/>
      <w:jc w:val="left"/>
      <w:widowControl/>
    </w:pPr>
    <w:rPr>
      <w:rFonts w:ascii="Arial" w:hAnsi="Arial" w:eastAsia="黑体"/>
      <w:sz w:val="24"/>
      <w:lang w:eastAsia="en-US"/>
    </w:rPr>
  </w:style>
  <w:style w:type="paragraph" w:styleId="1078" w:customStyle="1">
    <w:name w:val="段"/>
    <w:next w:val="935"/>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paragraph" w:styleId="1079" w:customStyle="1">
    <w:name w:val="普通正文"/>
    <w:basedOn w:val="935"/>
    <w:uiPriority w:val="99"/>
    <w:qFormat/>
    <w:pPr>
      <w:ind w:firstLine="480"/>
      <w:jc w:val="left"/>
      <w:spacing w:before="120" w:after="120" w:line="360" w:lineRule="auto"/>
    </w:pPr>
    <w:rPr>
      <w:rFonts w:ascii="Arial" w:hAnsi="Arial"/>
      <w:sz w:val="24"/>
    </w:rPr>
  </w:style>
  <w:style w:type="paragraph" w:styleId="1080" w:customStyle="1">
    <w:name w:val="Default"/>
    <w:uiPriority w:val="0"/>
    <w:qFormat/>
    <w:pPr>
      <w:spacing w:after="160" w:line="259" w:lineRule="auto"/>
      <w:widowControl w:val="off"/>
    </w:pPr>
    <w:rPr>
      <w:rFonts w:ascii="宋体" w:hAnsi="Times New Roman" w:eastAsia="宋体" w:cs="宋体"/>
      <w:color w:val="000000"/>
      <w:sz w:val="24"/>
      <w:szCs w:val="24"/>
      <w:lang w:val="en-US" w:eastAsia="zh-CN" w:bidi="ar-SA"/>
    </w:rPr>
  </w:style>
  <w:style w:type="character" w:styleId="1081" w:customStyle="1">
    <w:name w:val="不明显强调1"/>
    <w:uiPriority w:val="0"/>
    <w:qFormat/>
    <w:rPr>
      <w:i/>
      <w:iCs/>
      <w:color w:val="808080"/>
    </w:rPr>
  </w:style>
  <w:style w:type="character" w:styleId="1082" w:customStyle="1">
    <w:name w:val="明显强调1"/>
    <w:uiPriority w:val="0"/>
    <w:qFormat/>
    <w:rPr>
      <w:b/>
      <w:bCs/>
      <w:i/>
      <w:iCs/>
      <w:color w:val="4f81bd"/>
    </w:rPr>
  </w:style>
  <w:style w:type="character" w:styleId="1083" w:customStyle="1">
    <w:name w:val="不明显参考1"/>
    <w:uiPriority w:val="0"/>
    <w:qFormat/>
    <w:rPr>
      <w:smallCaps/>
      <w:color w:val="c0504d"/>
      <w:u w:val="single"/>
    </w:rPr>
  </w:style>
  <w:style w:type="character" w:styleId="1084" w:customStyle="1">
    <w:name w:val="明显参考1"/>
    <w:uiPriority w:val="0"/>
    <w:qFormat/>
    <w:rPr>
      <w:b/>
      <w:bCs/>
      <w:smallCaps/>
      <w:color w:val="c0504d"/>
      <w:spacing w:val="5"/>
      <w:u w:val="single"/>
    </w:rPr>
  </w:style>
  <w:style w:type="character" w:styleId="1085" w:customStyle="1">
    <w:name w:val="书籍标题1"/>
    <w:uiPriority w:val="0"/>
    <w:qFormat/>
    <w:rPr>
      <w:b/>
      <w:bCs/>
      <w:smallCaps/>
      <w:spacing w:val="5"/>
    </w:rPr>
  </w:style>
  <w:style w:type="character" w:styleId="1086" w:customStyle="1">
    <w:name w:val="副标题 Char1"/>
    <w:uiPriority w:val="11"/>
    <w:qFormat/>
    <w:rPr>
      <w:rFonts w:hint="default" w:ascii="Cambria" w:hAnsi="Cambria" w:cs="Times New Roman"/>
      <w:b/>
      <w:bCs/>
      <w:sz w:val="32"/>
      <w:szCs w:val="32"/>
    </w:rPr>
  </w:style>
  <w:style w:type="character" w:styleId="1087" w:customStyle="1">
    <w:name w:val="bookmark"/>
    <w:basedOn w:val="945"/>
    <w:uiPriority w:val="0"/>
    <w:qFormat/>
  </w:style>
  <w:style w:type="character" w:styleId="1088" w:customStyle="1">
    <w:name w:val="正文文本 Char1"/>
    <w:uiPriority w:val="0"/>
    <w:qFormat/>
    <w:rPr>
      <w:rFonts w:hint="default" w:ascii="Calibri" w:hAnsi="Calibri" w:eastAsia="宋体" w:cs="Times New Roman"/>
    </w:rPr>
  </w:style>
  <w:style w:type="character" w:styleId="1089" w:customStyle="1">
    <w:name w:val="font11"/>
    <w:uiPriority w:val="0"/>
    <w:qFormat/>
    <w:rPr>
      <w:rFonts w:hint="eastAsia" w:ascii="宋体" w:hAnsi="宋体" w:eastAsia="宋体" w:cs="宋体"/>
      <w:color w:val="000000"/>
      <w:sz w:val="20"/>
      <w:szCs w:val="20"/>
      <w:u w:val="none"/>
    </w:rPr>
  </w:style>
  <w:style w:type="character" w:styleId="1090" w:customStyle="1">
    <w:name w:val="引用 Char1"/>
    <w:uiPriority w:val="29"/>
    <w:qFormat/>
    <w:rPr>
      <w:i/>
      <w:iCs/>
      <w:color w:val="000000"/>
      <w:sz w:val="21"/>
    </w:rPr>
  </w:style>
  <w:style w:type="character" w:styleId="1091" w:customStyle="1">
    <w:name w:val="bookmark-item"/>
    <w:basedOn w:val="945"/>
    <w:uiPriority w:val="0"/>
    <w:qFormat/>
  </w:style>
  <w:style w:type="character" w:styleId="1092" w:customStyle="1">
    <w:name w:val="批注文字 Char2"/>
    <w:uiPriority w:val="0"/>
    <w:qFormat/>
    <w:rPr>
      <w:sz w:val="21"/>
    </w:rPr>
  </w:style>
  <w:style w:type="character" w:styleId="1093" w:customStyle="1">
    <w:name w:val="文档结构图 Char1"/>
    <w:uiPriority w:val="0"/>
    <w:qFormat/>
    <w:rPr>
      <w:rFonts w:hint="eastAsia" w:ascii="宋体" w:hAnsi="Calibri" w:eastAsia="宋体" w:cs="Times New Roman"/>
      <w:sz w:val="18"/>
      <w:szCs w:val="18"/>
    </w:rPr>
  </w:style>
  <w:style w:type="character" w:styleId="1094" w:customStyle="1">
    <w:name w:val="页脚 Char1"/>
    <w:uiPriority w:val="99"/>
    <w:semiHidden/>
    <w:qFormat/>
    <w:rPr>
      <w:rFonts w:hint="default" w:ascii="Calibri" w:hAnsi="Calibri" w:eastAsia="宋体" w:cs="Times New Roman"/>
      <w:sz w:val="18"/>
      <w:szCs w:val="18"/>
    </w:rPr>
  </w:style>
  <w:style w:type="character" w:styleId="1095" w:customStyle="1">
    <w:name w:val="font31"/>
    <w:uiPriority w:val="0"/>
    <w:qFormat/>
    <w:rPr>
      <w:rFonts w:hint="eastAsia" w:ascii="宋体" w:hAnsi="宋体" w:eastAsia="宋体" w:cs="宋体"/>
      <w:color w:val="000000"/>
      <w:sz w:val="20"/>
      <w:szCs w:val="20"/>
      <w:u w:val="none"/>
    </w:rPr>
  </w:style>
  <w:style w:type="character" w:styleId="1096" w:customStyle="1">
    <w:name w:val="标题 Char2"/>
    <w:uiPriority w:val="10"/>
    <w:qFormat/>
    <w:rPr>
      <w:rFonts w:hint="default" w:ascii="Cambria" w:hAnsi="Cambria" w:cs="Times New Roman"/>
      <w:b/>
      <w:bCs/>
      <w:sz w:val="32"/>
      <w:szCs w:val="32"/>
    </w:rPr>
  </w:style>
  <w:style w:type="character" w:styleId="1097" w:customStyle="1">
    <w:name w:val="textcontents"/>
    <w:uiPriority w:val="0"/>
    <w:qFormat/>
    <w:rPr>
      <w:rFonts w:hint="default" w:ascii="Times New Roman" w:hAnsi="Times New Roman" w:cs="Times New Roman"/>
    </w:rPr>
  </w:style>
  <w:style w:type="character" w:styleId="1098" w:customStyle="1">
    <w:name w:val="引用 Char2"/>
    <w:uiPriority w:val="99"/>
    <w:qFormat/>
    <w:rPr>
      <w:i/>
      <w:iCs/>
      <w:color w:val="000000"/>
      <w:sz w:val="21"/>
      <w:szCs w:val="24"/>
    </w:rPr>
  </w:style>
  <w:style w:type="character" w:styleId="1099" w:customStyle="1">
    <w:name w:val="明显引用 Char1"/>
    <w:uiPriority w:val="30"/>
    <w:qFormat/>
    <w:rPr>
      <w:b/>
      <w:bCs/>
      <w:i/>
      <w:iCs/>
      <w:color w:val="4f81bd"/>
      <w:sz w:val="21"/>
    </w:rPr>
  </w:style>
  <w:style w:type="character" w:styleId="1100" w:customStyle="1">
    <w:name w:val="批注主题 Char1"/>
    <w:uiPriority w:val="0"/>
    <w:qFormat/>
    <w:rPr>
      <w:b/>
      <w:bCs/>
      <w:sz w:val="21"/>
      <w:szCs w:val="22"/>
    </w:rPr>
  </w:style>
  <w:style w:type="character" w:styleId="1101" w:customStyle="1">
    <w:name w:val="标题 Char1"/>
    <w:uiPriority w:val="10"/>
    <w:qFormat/>
    <w:rPr>
      <w:rFonts w:hint="default" w:ascii="Cambria" w:hAnsi="Cambria" w:eastAsia="宋体" w:cs="Times New Roman"/>
      <w:b/>
      <w:bCs/>
      <w:sz w:val="32"/>
      <w:szCs w:val="32"/>
    </w:rPr>
  </w:style>
  <w:style w:type="character" w:styleId="1102" w:customStyle="1">
    <w:name w:val="批注文字 Char1"/>
    <w:uiPriority w:val="0"/>
    <w:qFormat/>
    <w:rPr>
      <w:rFonts w:hint="default" w:ascii="Calibri" w:hAnsi="Calibri" w:eastAsia="宋体" w:cs="Times New Roman"/>
    </w:rPr>
  </w:style>
  <w:style w:type="character" w:styleId="1103" w:customStyle="1">
    <w:name w:val="页眉 Char1"/>
    <w:uiPriority w:val="99"/>
    <w:semiHidden/>
    <w:qFormat/>
    <w:rPr>
      <w:rFonts w:hint="default" w:ascii="Calibri" w:hAnsi="Calibri" w:eastAsia="宋体" w:cs="Times New Roman"/>
      <w:sz w:val="18"/>
      <w:szCs w:val="18"/>
    </w:rPr>
  </w:style>
  <w:style w:type="character" w:styleId="1104" w:customStyle="1">
    <w:name w:val="font161"/>
    <w:uiPriority w:val="0"/>
    <w:qFormat/>
    <w:rPr>
      <w:b/>
      <w:sz w:val="32"/>
    </w:rPr>
  </w:style>
  <w:style w:type="character" w:styleId="1105" w:customStyle="1">
    <w:name w:val="正文文本 Char2"/>
    <w:uiPriority w:val="99"/>
    <w:semiHidden/>
    <w:qFormat/>
    <w:rPr>
      <w:rFonts w:hint="default" w:ascii="Calibri" w:hAnsi="Calibri" w:eastAsia="宋体" w:cs="Times New Roman"/>
    </w:rPr>
  </w:style>
  <w:style w:type="character" w:styleId="1106" w:customStyle="1">
    <w:name w:val="批注主题 Char2"/>
    <w:uiPriority w:val="0"/>
    <w:qFormat/>
    <w:rPr>
      <w:b/>
      <w:bCs/>
      <w:sz w:val="21"/>
    </w:rPr>
  </w:style>
  <w:style w:type="character" w:styleId="1107" w:customStyle="1">
    <w:name w:val="日期 Char1"/>
    <w:uiPriority w:val="0"/>
    <w:qFormat/>
    <w:rPr>
      <w:rFonts w:hint="default" w:ascii="Calibri" w:hAnsi="Calibri" w:eastAsia="宋体" w:cs="Times New Roman"/>
    </w:rPr>
  </w:style>
  <w:style w:type="character" w:styleId="1108" w:customStyle="1">
    <w:name w:val="超链接_0"/>
    <w:uiPriority w:val="99"/>
    <w:qFormat/>
    <w:rPr>
      <w:rFonts w:hint="default" w:ascii="Calibri" w:hAnsi="Calibri" w:cs="Calibri"/>
      <w:color w:val="0000ff"/>
      <w:u w:val="single"/>
    </w:rPr>
  </w:style>
  <w:style w:type="paragraph" w:styleId="1109" w:customStyle="1">
    <w:name w:val="标题 5_0"/>
    <w:basedOn w:val="1054"/>
    <w:next w:val="1054"/>
    <w:link w:val="1110"/>
    <w:uiPriority w:val="0"/>
    <w:qFormat/>
    <w:pPr>
      <w:keepLines/>
      <w:keepNext/>
      <w:spacing w:before="280" w:after="290" w:line="372" w:lineRule="auto"/>
      <w:outlineLvl w:val="4"/>
    </w:pPr>
    <w:rPr>
      <w:rFonts w:ascii="Calibri" w:hAnsi="Calibri"/>
      <w:b/>
      <w:bCs/>
      <w:sz w:val="28"/>
      <w:szCs w:val="28"/>
    </w:rPr>
  </w:style>
  <w:style w:type="character" w:styleId="1110" w:customStyle="1">
    <w:name w:val="标题 5 Char_0"/>
    <w:link w:val="1109"/>
    <w:uiPriority w:val="0"/>
    <w:qFormat/>
    <w:rPr>
      <w:rFonts w:ascii="Calibri" w:hAnsi="Calibri" w:eastAsia="宋体" w:cs="Times New Roman"/>
      <w:b/>
      <w:bCs/>
      <w:sz w:val="28"/>
      <w:szCs w:val="28"/>
    </w:rPr>
  </w:style>
  <w:style w:type="character" w:styleId="1111" w:customStyle="1">
    <w:name w:val="文档结构图 Char2"/>
    <w:uiPriority w:val="99"/>
    <w:semiHidden/>
    <w:qFormat/>
    <w:rPr>
      <w:rFonts w:hint="eastAsia" w:ascii="宋体" w:hAnsi="Calibri" w:eastAsia="宋体" w:cs="Times New Roman"/>
      <w:sz w:val="18"/>
      <w:szCs w:val="18"/>
    </w:rPr>
  </w:style>
  <w:style w:type="paragraph" w:styleId="1112" w:customStyle="1">
    <w:name w:val="标题 4_0"/>
    <w:basedOn w:val="1054"/>
    <w:next w:val="1054"/>
    <w:link w:val="1113"/>
    <w:uiPriority w:val="0"/>
    <w:qFormat/>
    <w:pPr>
      <w:keepLines/>
      <w:keepNext/>
      <w:spacing w:before="280" w:after="290" w:line="374" w:lineRule="auto"/>
      <w:outlineLvl w:val="3"/>
    </w:pPr>
    <w:rPr>
      <w:rFonts w:ascii="Arial" w:hAnsi="Arial" w:eastAsia="黑体"/>
      <w:b/>
      <w:bCs/>
      <w:sz w:val="28"/>
      <w:szCs w:val="28"/>
    </w:rPr>
  </w:style>
  <w:style w:type="character" w:styleId="1113" w:customStyle="1">
    <w:name w:val="标题 4 Char_0"/>
    <w:link w:val="1112"/>
    <w:uiPriority w:val="0"/>
    <w:qFormat/>
    <w:rPr>
      <w:rFonts w:ascii="Arial" w:hAnsi="Arial" w:eastAsia="黑体" w:cs="Times New Roman"/>
      <w:b/>
      <w:bCs/>
      <w:sz w:val="28"/>
      <w:szCs w:val="28"/>
    </w:rPr>
  </w:style>
  <w:style w:type="character" w:styleId="1114" w:customStyle="1">
    <w:name w:val="明显引用 Char2"/>
    <w:uiPriority w:val="99"/>
    <w:qFormat/>
    <w:rPr>
      <w:b/>
      <w:bCs/>
      <w:i/>
      <w:iCs/>
      <w:color w:val="4f81bd"/>
      <w:sz w:val="21"/>
      <w:szCs w:val="24"/>
    </w:rPr>
  </w:style>
  <w:style w:type="character" w:styleId="1115" w:customStyle="1">
    <w:name w:val="rvts11"/>
    <w:uiPriority w:val="0"/>
    <w:qFormat/>
    <w:rPr>
      <w:rFonts w:hint="default" w:ascii="KNLe" w:hAnsi="KNLe"/>
      <w:sz w:val="24"/>
      <w:szCs w:val="24"/>
      <w:u w:val="single"/>
    </w:rPr>
  </w:style>
  <w:style w:type="character" w:styleId="1116" w:customStyle="1">
    <w:name w:val="副标题 Char2"/>
    <w:uiPriority w:val="11"/>
    <w:qFormat/>
    <w:rPr>
      <w:rFonts w:hint="default" w:ascii="Cambria" w:hAnsi="Cambria" w:cs="Times New Roman"/>
      <w:b/>
      <w:bCs/>
      <w:sz w:val="32"/>
      <w:szCs w:val="32"/>
    </w:rPr>
  </w:style>
  <w:style w:type="character" w:styleId="1117" w:customStyle="1">
    <w:name w:val="批注框文本 Char2"/>
    <w:uiPriority w:val="99"/>
    <w:semiHidden/>
    <w:qFormat/>
    <w:rPr>
      <w:rFonts w:hint="default" w:ascii="Calibri" w:hAnsi="Calibri" w:eastAsia="宋体" w:cs="Times New Roman"/>
      <w:sz w:val="18"/>
      <w:szCs w:val="18"/>
    </w:rPr>
  </w:style>
  <w:style w:type="character" w:styleId="1118" w:customStyle="1">
    <w:name w:val="正文文本缩进 3 Char1"/>
    <w:uiPriority w:val="99"/>
    <w:semiHidden/>
    <w:qFormat/>
    <w:rPr>
      <w:sz w:val="16"/>
      <w:szCs w:val="16"/>
    </w:rPr>
  </w:style>
  <w:style w:type="character" w:styleId="1119" w:customStyle="1">
    <w:name w:val="font21"/>
    <w:uiPriority w:val="0"/>
    <w:qFormat/>
    <w:rPr>
      <w:rFonts w:hint="eastAsia" w:ascii="宋体" w:hAnsi="宋体" w:eastAsia="宋体" w:cs="宋体"/>
      <w:color w:val="000000"/>
      <w:sz w:val="20"/>
      <w:szCs w:val="20"/>
      <w:u w:val="none"/>
    </w:rPr>
  </w:style>
  <w:style w:type="character" w:styleId="1120" w:customStyle="1">
    <w:name w:val="日期 Char2"/>
    <w:uiPriority w:val="99"/>
    <w:semiHidden/>
    <w:qFormat/>
    <w:rPr>
      <w:rFonts w:hint="default" w:ascii="Calibri" w:hAnsi="Calibri" w:eastAsia="宋体" w:cs="Times New Roman"/>
    </w:rPr>
  </w:style>
  <w:style w:type="character" w:styleId="1121" w:customStyle="1">
    <w:name w:val="正文文本 3 Char1"/>
    <w:uiPriority w:val="99"/>
    <w:semiHidden/>
    <w:qFormat/>
    <w:rPr>
      <w:sz w:val="16"/>
      <w:szCs w:val="16"/>
    </w:rPr>
  </w:style>
  <w:style w:type="character" w:styleId="1122" w:customStyle="1">
    <w:name w:val="批注框文本 Char1"/>
    <w:uiPriority w:val="0"/>
    <w:qFormat/>
    <w:rPr>
      <w:sz w:val="18"/>
      <w:szCs w:val="18"/>
    </w:rPr>
  </w:style>
  <w:style w:type="character" w:styleId="1123" w:customStyle="1">
    <w:name w:val="标题 1 Char"/>
    <w:uiPriority w:val="0"/>
    <w:qFormat/>
    <w:rPr>
      <w:b/>
      <w:bCs/>
      <w:sz w:val="32"/>
      <w:szCs w:val="44"/>
    </w:rPr>
  </w:style>
  <w:style w:type="character" w:styleId="1124" w:customStyle="1">
    <w:name w:val="副标题 字符1"/>
    <w:basedOn w:val="945"/>
    <w:uiPriority w:val="11"/>
    <w:qFormat/>
    <w:rPr>
      <w:rFonts w:hint="eastAsia" w:asciiTheme="minorHAnsi" w:hAnsiTheme="minorHAnsi" w:eastAsiaTheme="minorEastAsia" w:cstheme="minorBidi"/>
      <w:b/>
      <w:bCs/>
      <w:sz w:val="32"/>
      <w:szCs w:val="32"/>
    </w:rPr>
  </w:style>
  <w:style w:type="character" w:styleId="1125" w:customStyle="1">
    <w:name w:val="正文文本缩进 2 字符1"/>
    <w:basedOn w:val="945"/>
    <w:uiPriority w:val="99"/>
    <w:semiHidden/>
    <w:qFormat/>
    <w:rPr>
      <w:sz w:val="21"/>
      <w:szCs w:val="24"/>
    </w:rPr>
  </w:style>
  <w:style w:type="character" w:styleId="1126" w:customStyle="1">
    <w:name w:val="正文文本 字符1"/>
    <w:basedOn w:val="945"/>
    <w:uiPriority w:val="0"/>
    <w:semiHidden/>
    <w:qFormat/>
    <w:rPr>
      <w:sz w:val="21"/>
      <w:szCs w:val="24"/>
    </w:rPr>
  </w:style>
  <w:style w:type="character" w:styleId="1127" w:customStyle="1">
    <w:name w:val="HTML 预设格式 字符1"/>
    <w:basedOn w:val="945"/>
    <w:uiPriority w:val="99"/>
    <w:semiHidden/>
    <w:qFormat/>
    <w:rPr>
      <w:rFonts w:hint="default" w:ascii="Courier New" w:hAnsi="Courier New" w:cs="Courier New"/>
    </w:rPr>
  </w:style>
  <w:style w:type="character" w:styleId="1128" w:customStyle="1">
    <w:name w:val="纯文本 字符1"/>
    <w:basedOn w:val="945"/>
    <w:uiPriority w:val="99"/>
    <w:semiHidden/>
    <w:qFormat/>
    <w:rPr>
      <w:rFonts w:hint="eastAsia" w:hAnsi="Courier New" w:cs="Courier New" w:asciiTheme="minorEastAsia" w:eastAsiaTheme="minorEastAsia"/>
      <w:sz w:val="21"/>
      <w:szCs w:val="24"/>
    </w:rPr>
  </w:style>
  <w:style w:type="character" w:styleId="1129" w:customStyle="1">
    <w:name w:val="页脚 字符1"/>
    <w:basedOn w:val="945"/>
    <w:uiPriority w:val="99"/>
    <w:semiHidden/>
    <w:qFormat/>
    <w:rPr>
      <w:sz w:val="18"/>
      <w:szCs w:val="18"/>
    </w:rPr>
  </w:style>
  <w:style w:type="character" w:styleId="1130" w:customStyle="1">
    <w:name w:val="批注文字 Char"/>
    <w:basedOn w:val="945"/>
    <w:link w:val="951"/>
    <w:uiPriority w:val="99"/>
    <w:qFormat/>
    <w:rPr>
      <w:rFonts w:ascii="Times New Roman" w:hAnsi="Times New Roman" w:eastAsia="宋体" w:cs="Times New Roman"/>
      <w:sz w:val="21"/>
      <w:szCs w:val="24"/>
    </w:rPr>
  </w:style>
  <w:style w:type="character" w:styleId="1131" w:customStyle="1">
    <w:name w:val="批注主题 字符1"/>
    <w:basedOn w:val="1130"/>
    <w:uiPriority w:val="99"/>
    <w:semiHidden/>
    <w:qFormat/>
    <w:rPr>
      <w:rFonts w:ascii="Times New Roman" w:hAnsi="Times New Roman" w:eastAsia="宋体" w:cs="Times New Roman"/>
      <w:b/>
      <w:bCs/>
      <w:sz w:val="21"/>
      <w:szCs w:val="24"/>
    </w:rPr>
  </w:style>
  <w:style w:type="character" w:styleId="1132" w:customStyle="1">
    <w:name w:val="页眉 字符1"/>
    <w:basedOn w:val="945"/>
    <w:uiPriority w:val="99"/>
    <w:semiHidden/>
    <w:qFormat/>
    <w:rPr>
      <w:sz w:val="18"/>
      <w:szCs w:val="18"/>
    </w:rPr>
  </w:style>
  <w:style w:type="character" w:styleId="1133" w:customStyle="1">
    <w:name w:val="标题 字符1"/>
    <w:basedOn w:val="945"/>
    <w:uiPriority w:val="10"/>
    <w:qFormat/>
    <w:rPr>
      <w:rFonts w:hint="eastAsia" w:asciiTheme="majorHAnsi" w:hAnsiTheme="majorHAnsi" w:eastAsiaTheme="majorEastAsia" w:cstheme="majorBidi"/>
      <w:b/>
      <w:bCs/>
      <w:sz w:val="32"/>
      <w:szCs w:val="32"/>
    </w:rPr>
  </w:style>
  <w:style w:type="character" w:styleId="1134" w:customStyle="1">
    <w:name w:val="批注框文本 字符1"/>
    <w:basedOn w:val="945"/>
    <w:uiPriority w:val="99"/>
    <w:semiHidden/>
    <w:qFormat/>
    <w:rPr>
      <w:sz w:val="18"/>
      <w:szCs w:val="18"/>
    </w:rPr>
  </w:style>
  <w:style w:type="character" w:styleId="1135" w:customStyle="1">
    <w:name w:val="明显引用 字符1"/>
    <w:basedOn w:val="945"/>
    <w:uiPriority w:val="30"/>
    <w:qFormat/>
    <w:rPr>
      <w:i/>
      <w:iCs/>
      <w:color w:val="4472c4" w:themeColor="accent1"/>
      <w:sz w:val="21"/>
      <w:szCs w:val="24"/>
      <w14:textFill>
        <w14:solidFill>
          <w14:schemeClr w14:val="accent1"/>
        </w14:solidFill>
      </w14:textFill>
    </w:rPr>
  </w:style>
  <w:style w:type="character" w:styleId="1136" w:customStyle="1">
    <w:name w:val="文档结构图 字符1"/>
    <w:basedOn w:val="945"/>
    <w:uiPriority w:val="99"/>
    <w:semiHidden/>
    <w:qFormat/>
    <w:rPr>
      <w:rFonts w:hint="eastAsia" w:ascii="Microsoft YaHei UI" w:hAnsi="Microsoft YaHei UI" w:eastAsia="Microsoft YaHei UI"/>
      <w:sz w:val="18"/>
      <w:szCs w:val="18"/>
    </w:rPr>
  </w:style>
  <w:style w:type="character" w:styleId="1137" w:customStyle="1">
    <w:name w:val="正文文本缩进 Char"/>
    <w:basedOn w:val="945"/>
    <w:link w:val="954"/>
    <w:uiPriority w:val="0"/>
    <w:semiHidden/>
    <w:qFormat/>
    <w:rPr>
      <w:rFonts w:ascii="Times New Roman" w:hAnsi="Times New Roman" w:eastAsia="宋体" w:cs="Times New Roman"/>
      <w:szCs w:val="24"/>
    </w:rPr>
  </w:style>
  <w:style w:type="character" w:styleId="1138" w:customStyle="1">
    <w:name w:val="正文文本缩进 3 字符1"/>
    <w:basedOn w:val="945"/>
    <w:uiPriority w:val="99"/>
    <w:semiHidden/>
    <w:qFormat/>
    <w:rPr>
      <w:sz w:val="16"/>
      <w:szCs w:val="16"/>
    </w:rPr>
  </w:style>
  <w:style w:type="character" w:styleId="1139" w:customStyle="1">
    <w:name w:val="引用 字符1"/>
    <w:basedOn w:val="945"/>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1140" w:customStyle="1">
    <w:name w:val="正文文本 3 字符1"/>
    <w:basedOn w:val="945"/>
    <w:uiPriority w:val="99"/>
    <w:semiHidden/>
    <w:qFormat/>
    <w:rPr>
      <w:sz w:val="16"/>
      <w:szCs w:val="16"/>
    </w:rPr>
  </w:style>
  <w:style w:type="character" w:styleId="1141" w:customStyle="1">
    <w:name w:val="日期 字符1"/>
    <w:basedOn w:val="945"/>
    <w:uiPriority w:val="99"/>
    <w:semiHidden/>
    <w:qFormat/>
    <w:rPr>
      <w:sz w:val="21"/>
      <w:szCs w:val="24"/>
    </w:rPr>
  </w:style>
  <w:style w:type="paragraph" w:styleId="1142" w:customStyle="1">
    <w:name w:val="3方案格式3"/>
    <w:basedOn w:val="1059"/>
    <w:uiPriority w:val="0"/>
    <w:qFormat/>
    <w:pPr>
      <w:numPr>
        <w:ilvl w:val="2"/>
      </w:numPr>
      <w:ind w:left="850"/>
      <w:outlineLvl w:val="2"/>
    </w:pPr>
    <w:rPr>
      <w:sz w:val="32"/>
    </w:rPr>
  </w:style>
  <w:style w:type="paragraph" w:styleId="1143" w:customStyle="1">
    <w:name w:val="目录 4_0"/>
    <w:basedOn w:val="1054"/>
    <w:next w:val="1054"/>
    <w:uiPriority w:val="39"/>
    <w:qFormat/>
    <w:pPr>
      <w:ind w:left="1260"/>
    </w:pPr>
    <w:rPr>
      <w:rFonts w:ascii="Calibri" w:hAnsi="Calibri"/>
    </w:rPr>
  </w:style>
  <w:style w:type="paragraph" w:styleId="1144" w:customStyle="1">
    <w:name w:val="Blockquote_0"/>
    <w:basedOn w:val="1054"/>
    <w:uiPriority w:val="0"/>
    <w:qFormat/>
    <w:pPr>
      <w:ind w:left="360" w:right="360"/>
      <w:jc w:val="left"/>
      <w:spacing w:before="100" w:after="100"/>
    </w:pPr>
    <w:rPr>
      <w:rFonts w:ascii="Calibri" w:hAnsi="Calibri" w:eastAsia="Times New Roman"/>
      <w:sz w:val="24"/>
      <w:szCs w:val="20"/>
    </w:rPr>
  </w:style>
  <w:style w:type="paragraph" w:styleId="1145" w:customStyle="1">
    <w:name w:val="_Style 1"/>
    <w:basedOn w:val="935"/>
    <w:uiPriority w:val="34"/>
    <w:qFormat/>
    <w:pPr>
      <w:ind w:firstLine="420"/>
    </w:pPr>
  </w:style>
  <w:style w:type="paragraph" w:styleId="1146" w:customStyle="1">
    <w:name w:val="修订2"/>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1147" w:customStyle="1">
    <w:name w:val="列表段落2"/>
    <w:basedOn w:val="935"/>
    <w:uiPriority w:val="99"/>
    <w:qFormat/>
    <w:pPr>
      <w:ind w:firstLine="420"/>
    </w:pPr>
  </w:style>
  <w:style w:type="paragraph" w:styleId="1148" w:customStyle="1">
    <w:name w:val="Überarbeitung1"/>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1149"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5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51" w:customStyle="1">
    <w:name w:val="列表段落3"/>
    <w:basedOn w:val="935"/>
    <w:uiPriority w:val="34"/>
    <w:qFormat/>
    <w:pPr>
      <w:ind w:firstLine="420"/>
      <w:spacing w:after="0" w:line="240" w:lineRule="auto"/>
    </w:pPr>
    <w:rPr>
      <w:rFonts w:ascii="Calibri" w:hAnsi="Calibri"/>
      <w:szCs w:val="22"/>
    </w:rPr>
  </w:style>
  <w:style w:type="paragraph" w:styleId="1152"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53" w:customStyle="1">
    <w:name w:val="列表段落4"/>
    <w:basedOn w:val="935"/>
    <w:uiPriority w:val="34"/>
    <w:qFormat/>
    <w:pPr>
      <w:ind w:firstLine="420"/>
      <w:spacing w:after="0" w:line="240" w:lineRule="auto"/>
    </w:pPr>
    <w:rPr>
      <w:rFonts w:ascii="Calibri" w:hAnsi="Calibri"/>
      <w:szCs w:val="22"/>
    </w:rPr>
  </w:style>
  <w:style w:type="paragraph" w:styleId="1154">
    <w:name w:val="List Paragraph"/>
    <w:basedOn w:val="935"/>
    <w:uiPriority w:val="0"/>
    <w:qFormat/>
    <w:pPr>
      <w:ind w:firstLine="420"/>
    </w:pPr>
  </w:style>
  <w:style w:type="paragraph" w:styleId="1155" w:customStyle="1">
    <w:name w:val="修订6"/>
    <w:hidden/>
    <w:uiPriority w:val="99"/>
    <w:semiHidden/>
    <w:qFormat/>
    <w:rPr>
      <w:rFonts w:ascii="Times New Roman" w:hAnsi="Times New Roman" w:eastAsia="宋体" w:cs="Times New Roman"/>
      <w:sz w:val="21"/>
      <w:szCs w:val="24"/>
      <w:lang w:val="en-US" w:eastAsia="zh-CN" w:bidi="ar-SA"/>
    </w:rPr>
  </w:style>
  <w:style w:type="paragraph" w:styleId="1156" w:customStyle="1">
    <w:name w:val="修订7"/>
    <w:hidden/>
    <w:uiPriority w:val="99"/>
    <w:semiHidden/>
    <w:qFormat/>
    <w:rPr>
      <w:rFonts w:ascii="Times New Roman" w:hAnsi="Times New Roman" w:eastAsia="宋体" w:cs="Times New Roman"/>
      <w:sz w:val="21"/>
      <w:szCs w:val="24"/>
      <w:lang w:val="en-US" w:eastAsia="zh-CN" w:bidi="ar-SA"/>
    </w:rPr>
  </w:style>
  <w:style w:type="character" w:styleId="1157" w:customStyle="1">
    <w:name w:val="正文文本 Char"/>
    <w:uiPriority w:val="0"/>
    <w:qFormat/>
    <w:rPr>
      <w:rFonts w:ascii="Times New Roman" w:hAnsi="Times New Roman" w:eastAsia="幼圆"/>
      <w:b/>
      <w:bCs/>
      <w:sz w:val="44"/>
      <w:szCs w:val="24"/>
    </w:rPr>
  </w:style>
  <w:style w:type="character" w:styleId="1158" w:customStyle="1">
    <w:name w:val="批注文字 Char3"/>
    <w:uiPriority w:val="99"/>
    <w:qFormat/>
    <w:rPr>
      <w:sz w:val="21"/>
      <w:szCs w:val="24"/>
    </w:rPr>
  </w:style>
  <w:style w:type="paragraph" w:styleId="1159"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1160" w:customStyle="1">
    <w:name w:val="修订9"/>
    <w:hidden/>
    <w:uiPriority w:val="99"/>
    <w:semiHidden/>
    <w:qFormat/>
    <w:rPr>
      <w:rFonts w:ascii="Times New Roman" w:hAnsi="Times New Roman" w:eastAsia="宋体" w:cs="Times New Roman"/>
      <w:sz w:val="21"/>
      <w:szCs w:val="24"/>
      <w:lang w:val="en-US" w:eastAsia="zh-CN" w:bidi="ar-SA"/>
    </w:rPr>
  </w:style>
  <w:style w:type="paragraph" w:styleId="1161"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1162"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1163" w:customStyle="1">
    <w:name w:val="修订12"/>
    <w:hidden/>
    <w:uiPriority w:val="99"/>
    <w:unhideWhenUsed/>
    <w:qFormat/>
    <w:rPr>
      <w:rFonts w:ascii="Times New Roman" w:hAnsi="Times New Roman" w:eastAsia="宋体" w:cs="Times New Roman"/>
      <w:sz w:val="21"/>
      <w:szCs w:val="24"/>
      <w:lang w:val="en-US" w:eastAsia="zh-CN" w:bidi="ar-SA"/>
    </w:rPr>
  </w:style>
  <w:style w:type="paragraph" w:styleId="1164" w:customStyle="1">
    <w:name w:val="修订13"/>
    <w:hidden/>
    <w:uiPriority w:val="99"/>
    <w:unhideWhenUsed/>
    <w:qFormat/>
    <w:rPr>
      <w:rFonts w:ascii="Times New Roman" w:hAnsi="Times New Roman" w:eastAsia="宋体" w:cs="Times New Roman"/>
      <w:sz w:val="21"/>
      <w:szCs w:val="24"/>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h.a.l.m. Elektronik GmbH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其伟</dc:creator>
  <cp:lastModifiedBy>路紫明</cp:lastModifiedBy>
  <cp:revision>7</cp:revision>
  <dcterms:created xsi:type="dcterms:W3CDTF">2025-11-13T01:25:00Z</dcterms:created>
  <dcterms:modified xsi:type="dcterms:W3CDTF">2025-11-21T04:29:17Z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CB46A95620E34FDFB544405F501273B0_13</vt:lpwstr>
  </property>
  <property fmtid="{D5CDD505-2E9C-101B-9397-08002B2CF9AE}" pid="4" name="_DocHome">
    <vt:i4>-1131788910</vt:i4>
  </property>
  <property fmtid="{D5CDD505-2E9C-101B-9397-08002B2CF9AE}" pid="5" name="KSOTemplateDocerSaveRecord">
    <vt:lpwstr>eyJoZGlkIjoiZWQ0NWNmOWM0MTYxMDU5NDhmNTYxMTc1NGJlYTk1ODAiLCJ1c2VySWQiOiIyMTc3NzUyNDEifQ==</vt:lpwstr>
  </property>
</Properties>
</file>